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EBBEB" w14:textId="77777777" w:rsidR="00BD55DE" w:rsidRPr="00C85C82" w:rsidRDefault="00BD55DE" w:rsidP="00533DC0">
      <w:pPr>
        <w:spacing w:line="240" w:lineRule="auto"/>
        <w:jc w:val="center"/>
        <w:rPr>
          <w:rFonts w:ascii="HendersonSansW00-BasicLight" w:eastAsia="Garamond" w:hAnsi="HendersonSansW00-BasicLight" w:cs="Garamond"/>
          <w:b/>
          <w:sz w:val="24"/>
          <w:szCs w:val="24"/>
        </w:rPr>
      </w:pPr>
    </w:p>
    <w:p w14:paraId="7A5BF1BF" w14:textId="77777777" w:rsidR="00BD55DE" w:rsidRPr="00C85C82" w:rsidRDefault="00BD55DE" w:rsidP="00533DC0">
      <w:pPr>
        <w:spacing w:line="240" w:lineRule="auto"/>
        <w:jc w:val="center"/>
        <w:rPr>
          <w:rFonts w:ascii="HendersonSansW00-BasicLight" w:eastAsia="Garamond" w:hAnsi="HendersonSansW00-BasicLight" w:cs="Garamond"/>
          <w:b/>
          <w:sz w:val="24"/>
          <w:szCs w:val="24"/>
        </w:rPr>
      </w:pPr>
    </w:p>
    <w:p w14:paraId="34562240" w14:textId="77777777" w:rsidR="00BD55DE" w:rsidRPr="00C85C82" w:rsidRDefault="00BD55DE" w:rsidP="00533DC0">
      <w:pPr>
        <w:spacing w:line="240" w:lineRule="auto"/>
        <w:jc w:val="center"/>
        <w:rPr>
          <w:rFonts w:ascii="HendersonSansW00-BasicLight" w:eastAsia="Garamond" w:hAnsi="HendersonSansW00-BasicLight" w:cs="Garamond"/>
          <w:b/>
          <w:sz w:val="24"/>
          <w:szCs w:val="24"/>
        </w:rPr>
      </w:pPr>
    </w:p>
    <w:p w14:paraId="676CC072" w14:textId="77777777" w:rsidR="00BD55DE" w:rsidRPr="00C85C82" w:rsidRDefault="00BD55DE" w:rsidP="00533DC0">
      <w:pPr>
        <w:spacing w:line="240" w:lineRule="auto"/>
        <w:jc w:val="center"/>
        <w:rPr>
          <w:rFonts w:ascii="HendersonSansW00-BasicLight" w:eastAsia="Garamond" w:hAnsi="HendersonSansW00-BasicLight" w:cs="Garamond"/>
          <w:b/>
          <w:sz w:val="24"/>
          <w:szCs w:val="24"/>
        </w:rPr>
      </w:pPr>
    </w:p>
    <w:p w14:paraId="27D48CA0" w14:textId="77777777" w:rsidR="00AC428A" w:rsidRDefault="00AC428A" w:rsidP="00533DC0">
      <w:pPr>
        <w:spacing w:line="240" w:lineRule="auto"/>
        <w:jc w:val="center"/>
        <w:rPr>
          <w:rFonts w:ascii="HendersonSansW00-BasicLight" w:eastAsia="Garamond" w:hAnsi="HendersonSansW00-BasicLight" w:cs="Garamond"/>
          <w:b/>
          <w:sz w:val="32"/>
          <w:szCs w:val="32"/>
        </w:rPr>
      </w:pPr>
    </w:p>
    <w:p w14:paraId="12453DE0" w14:textId="77777777" w:rsidR="00AC428A" w:rsidRDefault="00AC428A" w:rsidP="00533DC0">
      <w:pPr>
        <w:spacing w:line="240" w:lineRule="auto"/>
        <w:jc w:val="center"/>
        <w:rPr>
          <w:rFonts w:ascii="HendersonSansW00-BasicLight" w:eastAsia="Garamond" w:hAnsi="HendersonSansW00-BasicLight" w:cs="Garamond"/>
          <w:b/>
          <w:sz w:val="32"/>
          <w:szCs w:val="32"/>
        </w:rPr>
      </w:pPr>
    </w:p>
    <w:p w14:paraId="5171A1C4" w14:textId="77777777" w:rsidR="00AC428A" w:rsidRDefault="00AC428A" w:rsidP="00533DC0">
      <w:pPr>
        <w:spacing w:line="240" w:lineRule="auto"/>
        <w:jc w:val="center"/>
        <w:rPr>
          <w:rFonts w:ascii="HendersonSansW00-BasicLight" w:eastAsia="Garamond" w:hAnsi="HendersonSansW00-BasicLight" w:cs="Garamond"/>
          <w:b/>
          <w:sz w:val="32"/>
          <w:szCs w:val="32"/>
        </w:rPr>
      </w:pPr>
    </w:p>
    <w:p w14:paraId="521FD564" w14:textId="056366F6" w:rsidR="00BD55DE" w:rsidRPr="00522C14" w:rsidRDefault="00A33DDC" w:rsidP="00533DC0">
      <w:pPr>
        <w:spacing w:line="240" w:lineRule="auto"/>
        <w:jc w:val="center"/>
        <w:rPr>
          <w:rFonts w:ascii="HendersonSansW00-BasicLight" w:eastAsia="Garamond" w:hAnsi="HendersonSansW00-BasicLight" w:cs="Garamond"/>
          <w:b/>
          <w:sz w:val="32"/>
          <w:szCs w:val="32"/>
        </w:rPr>
      </w:pPr>
      <w:r w:rsidRPr="00522C14">
        <w:rPr>
          <w:rFonts w:ascii="HendersonSansW00-BasicLight" w:eastAsia="Garamond" w:hAnsi="HendersonSansW00-BasicLight" w:cs="Garamond"/>
          <w:b/>
          <w:sz w:val="32"/>
          <w:szCs w:val="32"/>
        </w:rPr>
        <w:t>Cartel de Concurso Público</w:t>
      </w:r>
    </w:p>
    <w:p w14:paraId="2A4A4076" w14:textId="77777777" w:rsidR="00BD55DE" w:rsidRPr="00522C14" w:rsidRDefault="00A33DDC" w:rsidP="00533DC0">
      <w:pPr>
        <w:spacing w:line="240" w:lineRule="auto"/>
        <w:jc w:val="center"/>
        <w:rPr>
          <w:rFonts w:ascii="HendersonSansW00-BasicLight" w:eastAsia="Garamond" w:hAnsi="HendersonSansW00-BasicLight" w:cs="Garamond"/>
          <w:b/>
          <w:sz w:val="32"/>
          <w:szCs w:val="32"/>
        </w:rPr>
      </w:pPr>
      <w:r w:rsidRPr="00522C14">
        <w:rPr>
          <w:rFonts w:ascii="HendersonSansW00-BasicLight" w:eastAsia="Garamond" w:hAnsi="HendersonSansW00-BasicLight" w:cs="Garamond"/>
          <w:b/>
          <w:sz w:val="32"/>
          <w:szCs w:val="32"/>
        </w:rPr>
        <w:t>(Antecedentes Preliminares)</w:t>
      </w:r>
    </w:p>
    <w:p w14:paraId="61ADD0E3" w14:textId="77777777" w:rsidR="00294AFE" w:rsidRPr="00522C14" w:rsidRDefault="00294AFE" w:rsidP="00533DC0">
      <w:pPr>
        <w:spacing w:before="240" w:after="240" w:line="240" w:lineRule="auto"/>
        <w:jc w:val="center"/>
        <w:rPr>
          <w:rFonts w:ascii="HendersonSansW00-BasicLight" w:eastAsia="Garamond" w:hAnsi="HendersonSansW00-BasicLight" w:cs="Garamond"/>
          <w:sz w:val="32"/>
          <w:szCs w:val="32"/>
        </w:rPr>
      </w:pPr>
    </w:p>
    <w:p w14:paraId="3F04E714" w14:textId="1F6A1108" w:rsidR="00BD55DE" w:rsidRPr="00522C14" w:rsidRDefault="00A33DDC" w:rsidP="00533DC0">
      <w:pPr>
        <w:spacing w:before="240" w:after="240" w:line="240" w:lineRule="auto"/>
        <w:jc w:val="center"/>
        <w:rPr>
          <w:rFonts w:ascii="HendersonSansW00-BasicLight" w:eastAsia="Garamond" w:hAnsi="HendersonSansW00-BasicLight" w:cs="Garamond"/>
          <w:sz w:val="32"/>
          <w:szCs w:val="32"/>
        </w:rPr>
      </w:pPr>
      <w:r w:rsidRPr="00972D9F">
        <w:rPr>
          <w:rFonts w:ascii="HendersonSansW00-BasicLight" w:eastAsia="Garamond" w:hAnsi="HendersonSansW00-BasicLight" w:cs="Garamond"/>
          <w:sz w:val="32"/>
          <w:szCs w:val="32"/>
        </w:rPr>
        <w:t xml:space="preserve">Para la </w:t>
      </w:r>
      <w:r w:rsidR="00EF1C8C" w:rsidRPr="00972D9F">
        <w:rPr>
          <w:rFonts w:ascii="HendersonSansW00-BasicLight" w:eastAsia="Garamond" w:hAnsi="HendersonSansW00-BasicLight" w:cs="Garamond"/>
          <w:sz w:val="32"/>
          <w:szCs w:val="32"/>
        </w:rPr>
        <w:t xml:space="preserve">realización de la </w:t>
      </w:r>
      <w:bookmarkStart w:id="0" w:name="_heading=h.gjdgxs" w:colFirst="0" w:colLast="0"/>
      <w:bookmarkEnd w:id="0"/>
      <w:r w:rsidR="00CE7D83" w:rsidRPr="00972D9F">
        <w:rPr>
          <w:rFonts w:ascii="HendersonSansW00-BasicLight" w:eastAsia="Garamond" w:hAnsi="HendersonSansW00-BasicLight" w:cs="Garamond"/>
          <w:sz w:val="32"/>
          <w:szCs w:val="32"/>
        </w:rPr>
        <w:t>“</w:t>
      </w:r>
      <w:r w:rsidR="00E040E9" w:rsidRPr="00972D9F">
        <w:rPr>
          <w:rFonts w:ascii="HendersonSansW00-BasicLight" w:eastAsia="Garamond" w:hAnsi="HendersonSansW00-BasicLight" w:cs="Garamond"/>
          <w:sz w:val="32"/>
          <w:szCs w:val="32"/>
        </w:rPr>
        <w:t xml:space="preserve">Estudios Técnicos para la elaboración de planos, diseños y presupuesto según los términos de referencia </w:t>
      </w:r>
      <w:r w:rsidR="006903D6" w:rsidRPr="00972D9F">
        <w:rPr>
          <w:rFonts w:ascii="HendersonSansW00-BasicLight" w:eastAsia="Garamond" w:hAnsi="HendersonSansW00-BasicLight" w:cs="Garamond"/>
          <w:sz w:val="32"/>
          <w:szCs w:val="32"/>
        </w:rPr>
        <w:t>del AyA, para la infraes</w:t>
      </w:r>
      <w:r w:rsidR="00D712D7" w:rsidRPr="00972D9F">
        <w:rPr>
          <w:rFonts w:ascii="HendersonSansW00-BasicLight" w:eastAsia="Garamond" w:hAnsi="HendersonSansW00-BasicLight" w:cs="Garamond"/>
          <w:sz w:val="32"/>
          <w:szCs w:val="32"/>
        </w:rPr>
        <w:t>tructura hídrica de las Asociaciones Administradoras de los Sistemas de Acueductos</w:t>
      </w:r>
      <w:r w:rsidR="00EE5AE2" w:rsidRPr="00972D9F">
        <w:rPr>
          <w:rFonts w:ascii="HendersonSansW00-BasicLight" w:eastAsia="Garamond" w:hAnsi="HendersonSansW00-BasicLight" w:cs="Garamond"/>
          <w:sz w:val="32"/>
          <w:szCs w:val="32"/>
        </w:rPr>
        <w:t xml:space="preserve"> y Alcantarillados Comunales (ASADAS), en los distritos de Volcán, Brunka, Biolley, Potrero Grande y Pilas del Cantón de Buenos Aires, Puntarenas</w:t>
      </w:r>
      <w:r w:rsidR="00CE7D83" w:rsidRPr="00972D9F">
        <w:rPr>
          <w:rFonts w:ascii="HendersonSansW00-BasicLight" w:eastAsia="Garamond" w:hAnsi="HendersonSansW00-BasicLight" w:cs="Garamond"/>
          <w:sz w:val="32"/>
          <w:szCs w:val="32"/>
        </w:rPr>
        <w:t>”</w:t>
      </w:r>
    </w:p>
    <w:p w14:paraId="3A21C0A9" w14:textId="77777777" w:rsidR="00BD55DE" w:rsidRPr="00C85C82" w:rsidRDefault="00BD55DE" w:rsidP="00533DC0">
      <w:pPr>
        <w:spacing w:line="240" w:lineRule="auto"/>
        <w:rPr>
          <w:rFonts w:ascii="HendersonSansW00-BasicLight" w:eastAsia="Garamond" w:hAnsi="HendersonSansW00-BasicLight" w:cs="Garamond"/>
          <w:sz w:val="40"/>
          <w:szCs w:val="40"/>
        </w:rPr>
      </w:pPr>
    </w:p>
    <w:p w14:paraId="3BE8D76E" w14:textId="77777777" w:rsidR="00BD55DE" w:rsidRPr="00C85C82" w:rsidRDefault="00BD55DE" w:rsidP="00533DC0">
      <w:pPr>
        <w:spacing w:line="240" w:lineRule="auto"/>
        <w:jc w:val="center"/>
        <w:rPr>
          <w:rFonts w:ascii="HendersonSansW00-BasicLight" w:eastAsia="Garamond" w:hAnsi="HendersonSansW00-BasicLight" w:cs="Garamond"/>
          <w:sz w:val="32"/>
          <w:szCs w:val="32"/>
        </w:rPr>
      </w:pPr>
    </w:p>
    <w:p w14:paraId="2895BECD" w14:textId="36984FF8" w:rsidR="00BD55DE" w:rsidRDefault="00BD55DE" w:rsidP="00533DC0">
      <w:pPr>
        <w:spacing w:line="240" w:lineRule="auto"/>
        <w:jc w:val="center"/>
        <w:rPr>
          <w:rFonts w:ascii="HendersonSansW00-BasicLight" w:hAnsi="HendersonSansW00-BasicLight"/>
          <w:noProof/>
        </w:rPr>
      </w:pPr>
    </w:p>
    <w:p w14:paraId="268F04D7" w14:textId="77777777" w:rsidR="00AC428A" w:rsidRDefault="00AC428A" w:rsidP="00533DC0">
      <w:pPr>
        <w:spacing w:line="240" w:lineRule="auto"/>
        <w:jc w:val="center"/>
        <w:rPr>
          <w:rFonts w:ascii="HendersonSansW00-BasicLight" w:hAnsi="HendersonSansW00-BasicLight"/>
          <w:noProof/>
        </w:rPr>
      </w:pPr>
    </w:p>
    <w:p w14:paraId="5730E9EC" w14:textId="77777777" w:rsidR="00AC428A" w:rsidRDefault="00AC428A" w:rsidP="00533DC0">
      <w:pPr>
        <w:spacing w:line="240" w:lineRule="auto"/>
        <w:jc w:val="center"/>
        <w:rPr>
          <w:rFonts w:ascii="HendersonSansW00-BasicLight" w:hAnsi="HendersonSansW00-BasicLight"/>
          <w:noProof/>
        </w:rPr>
      </w:pPr>
    </w:p>
    <w:p w14:paraId="0FCEDBF4" w14:textId="77777777" w:rsidR="00AC428A" w:rsidRDefault="00AC428A" w:rsidP="00533DC0">
      <w:pPr>
        <w:spacing w:line="240" w:lineRule="auto"/>
        <w:jc w:val="center"/>
        <w:rPr>
          <w:rFonts w:ascii="HendersonSansW00-BasicLight" w:hAnsi="HendersonSansW00-BasicLight"/>
          <w:noProof/>
        </w:rPr>
      </w:pPr>
    </w:p>
    <w:p w14:paraId="512B02F3" w14:textId="77777777" w:rsidR="00AC428A" w:rsidRDefault="00AC428A" w:rsidP="00533DC0">
      <w:pPr>
        <w:spacing w:line="240" w:lineRule="auto"/>
        <w:jc w:val="center"/>
        <w:rPr>
          <w:rFonts w:ascii="HendersonSansW00-BasicLight" w:hAnsi="HendersonSansW00-BasicLight"/>
          <w:noProof/>
        </w:rPr>
      </w:pPr>
    </w:p>
    <w:p w14:paraId="699CBCCE" w14:textId="34BE6C70" w:rsidR="00BD55DE" w:rsidRPr="00C85C82" w:rsidRDefault="00AC428A" w:rsidP="00533DC0">
      <w:pPr>
        <w:spacing w:line="240" w:lineRule="auto"/>
        <w:jc w:val="center"/>
        <w:rPr>
          <w:rFonts w:ascii="HendersonSansW00-BasicLight" w:eastAsia="Garamond" w:hAnsi="HendersonSansW00-BasicLight" w:cs="Garamond"/>
          <w:b/>
        </w:rPr>
      </w:pPr>
      <w:bookmarkStart w:id="1" w:name="_heading=h.30j0zll" w:colFirst="0" w:colLast="0"/>
      <w:bookmarkEnd w:id="1"/>
      <w:r>
        <w:rPr>
          <w:rFonts w:ascii="HendersonSansW00-BasicLight" w:eastAsia="Garamond" w:hAnsi="HendersonSansW00-BasicLight" w:cs="Garamond"/>
          <w:b/>
        </w:rPr>
        <w:br w:type="page"/>
      </w:r>
      <w:r w:rsidR="00A33DDC" w:rsidRPr="00C85C82">
        <w:rPr>
          <w:rFonts w:ascii="HendersonSansW00-BasicLight" w:eastAsia="Garamond" w:hAnsi="HendersonSansW00-BasicLight" w:cs="Garamond"/>
          <w:b/>
        </w:rPr>
        <w:lastRenderedPageBreak/>
        <w:t>DEFINICIÓN DE TÉRMINOS</w:t>
      </w:r>
    </w:p>
    <w:p w14:paraId="4FACCCE1" w14:textId="77777777" w:rsidR="00C85C82" w:rsidRPr="00C85C82" w:rsidRDefault="00C85C82" w:rsidP="00533DC0">
      <w:pPr>
        <w:spacing w:after="0" w:line="240" w:lineRule="auto"/>
        <w:jc w:val="both"/>
        <w:rPr>
          <w:rFonts w:ascii="HendersonSansW00-BasicLight" w:eastAsia="Garamond" w:hAnsi="HendersonSansW00-BasicLight" w:cs="Garamond"/>
        </w:rPr>
      </w:pPr>
    </w:p>
    <w:p w14:paraId="3D042365" w14:textId="2B0A92C1"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Los siguientes términos, ya sea en el Cartel, en los formularios o en los Términos de Referencia, se entenderán de la siguiente manera:</w:t>
      </w:r>
    </w:p>
    <w:p w14:paraId="62CEBD7E"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304888E1" w14:textId="1B570395" w:rsidR="00BD55DE"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ADMINISTRACIÓN</w:t>
      </w:r>
      <w:r w:rsidRPr="004E1C08">
        <w:rPr>
          <w:rFonts w:ascii="HendersonSansW00-BasicLight" w:eastAsia="Garamond" w:hAnsi="HendersonSansW00-BasicLight" w:cs="Garamond"/>
          <w:b/>
        </w:rPr>
        <w:t xml:space="preserve">: </w:t>
      </w:r>
      <w:r w:rsidR="00EE5AE2" w:rsidRPr="004E1C08">
        <w:rPr>
          <w:rFonts w:ascii="HendersonSansW00-BasicLight" w:eastAsia="Garamond" w:hAnsi="HendersonSansW00-BasicLight" w:cs="Garamond"/>
        </w:rPr>
        <w:t>Municipalidad de Buenos Aires</w:t>
      </w:r>
    </w:p>
    <w:p w14:paraId="74312B0A" w14:textId="3BA9511B" w:rsidR="00C07E56" w:rsidRDefault="00C07E56" w:rsidP="00533DC0">
      <w:pPr>
        <w:spacing w:after="0" w:line="240" w:lineRule="auto"/>
        <w:jc w:val="both"/>
        <w:rPr>
          <w:rFonts w:ascii="HendersonSansW00-BasicLight" w:eastAsia="Garamond" w:hAnsi="HendersonSansW00-BasicLight" w:cs="Garamond"/>
        </w:rPr>
      </w:pPr>
    </w:p>
    <w:p w14:paraId="6999526C" w14:textId="1376533A" w:rsidR="00C07E56" w:rsidRDefault="00C07E56" w:rsidP="00533DC0">
      <w:pPr>
        <w:spacing w:after="0" w:line="240" w:lineRule="auto"/>
        <w:jc w:val="both"/>
        <w:rPr>
          <w:rFonts w:ascii="HendersonSansW00-BasicLight" w:eastAsia="Garamond" w:hAnsi="HendersonSansW00-BasicLight" w:cs="Garamond"/>
        </w:rPr>
      </w:pPr>
      <w:r w:rsidRPr="00C07E56">
        <w:rPr>
          <w:rFonts w:ascii="HendersonSansW00-BasicLight" w:eastAsia="Garamond" w:hAnsi="HendersonSansW00-BasicLight" w:cs="Garamond"/>
          <w:b/>
        </w:rPr>
        <w:t>ASADA:</w:t>
      </w:r>
      <w:r>
        <w:rPr>
          <w:rFonts w:ascii="HendersonSansW00-BasicLight" w:eastAsia="Garamond" w:hAnsi="HendersonSansW00-BasicLight" w:cs="Garamond"/>
        </w:rPr>
        <w:t xml:space="preserve"> Asociación Administradora de los Sistemas de Acueductos y Alcantarillados Comunales</w:t>
      </w:r>
    </w:p>
    <w:p w14:paraId="22F67749" w14:textId="3DA3B943" w:rsidR="00E040E9" w:rsidRDefault="00E040E9" w:rsidP="00533DC0">
      <w:pPr>
        <w:spacing w:after="0" w:line="240" w:lineRule="auto"/>
        <w:jc w:val="both"/>
        <w:rPr>
          <w:rFonts w:ascii="HendersonSansW00-BasicLight" w:eastAsia="Garamond" w:hAnsi="HendersonSansW00-BasicLight" w:cs="Garamond"/>
        </w:rPr>
      </w:pPr>
    </w:p>
    <w:p w14:paraId="4D071967" w14:textId="48770FBD" w:rsidR="00E040E9" w:rsidRPr="00C85C82" w:rsidRDefault="00E040E9" w:rsidP="00533DC0">
      <w:pPr>
        <w:spacing w:after="0" w:line="240" w:lineRule="auto"/>
        <w:jc w:val="both"/>
        <w:rPr>
          <w:rFonts w:ascii="HendersonSansW00-BasicLight" w:eastAsia="Garamond" w:hAnsi="HendersonSansW00-BasicLight" w:cs="Garamond"/>
        </w:rPr>
      </w:pPr>
      <w:r w:rsidRPr="00E040E9">
        <w:rPr>
          <w:rFonts w:ascii="HendersonSansW00-BasicLight" w:eastAsia="Garamond" w:hAnsi="HendersonSansW00-BasicLight" w:cs="Garamond"/>
          <w:b/>
        </w:rPr>
        <w:t>AyA:</w:t>
      </w:r>
      <w:r>
        <w:rPr>
          <w:rFonts w:ascii="HendersonSansW00-BasicLight" w:eastAsia="Garamond" w:hAnsi="HendersonSansW00-BasicLight" w:cs="Garamond"/>
        </w:rPr>
        <w:t xml:space="preserve"> Instituto Costarricense de Acueductos y Alcantarillados</w:t>
      </w:r>
    </w:p>
    <w:p w14:paraId="69B7EE1C"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4E20CC78" w14:textId="58CF8EF2" w:rsidR="00BD55DE"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Se refiere al pliego de condiciones según se establece en </w:t>
      </w:r>
      <w:r w:rsidR="007C1D74" w:rsidRPr="00C85C82">
        <w:rPr>
          <w:rFonts w:ascii="HendersonSansW00-BasicLight" w:eastAsia="Garamond" w:hAnsi="HendersonSansW00-BasicLight" w:cs="Garamond"/>
        </w:rPr>
        <w:t>Reglamento del Fondo de Preinversión</w:t>
      </w:r>
      <w:r w:rsidRPr="00C85C82">
        <w:rPr>
          <w:rFonts w:ascii="HendersonSansW00-BasicLight" w:eastAsia="Garamond" w:hAnsi="HendersonSansW00-BasicLight" w:cs="Garamond"/>
        </w:rPr>
        <w:t>.</w:t>
      </w:r>
    </w:p>
    <w:p w14:paraId="2DABD027" w14:textId="43AEBB08" w:rsidR="003942B5" w:rsidRDefault="003942B5" w:rsidP="00533DC0">
      <w:pPr>
        <w:spacing w:after="0" w:line="240" w:lineRule="auto"/>
        <w:jc w:val="both"/>
        <w:rPr>
          <w:rFonts w:ascii="HendersonSansW00-BasicLight" w:eastAsia="Garamond" w:hAnsi="HendersonSansW00-BasicLight" w:cs="Garamond"/>
        </w:rPr>
      </w:pPr>
    </w:p>
    <w:p w14:paraId="4970B656" w14:textId="57ACC642" w:rsidR="00BD55DE" w:rsidRPr="00C85C82" w:rsidRDefault="00A33DDC" w:rsidP="00533DC0">
      <w:pPr>
        <w:tabs>
          <w:tab w:val="left" w:pos="-720"/>
          <w:tab w:val="left" w:pos="0"/>
          <w:tab w:val="left" w:pos="720"/>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b/>
        </w:rPr>
        <w:t xml:space="preserve">COMISIÓN CALIFICADORA: </w:t>
      </w:r>
      <w:r w:rsidRPr="00C85C82">
        <w:rPr>
          <w:rFonts w:ascii="HendersonSansW00-BasicLight" w:eastAsia="Garamond" w:hAnsi="HendersonSansW00-BasicLight" w:cs="Garamond"/>
        </w:rPr>
        <w:t>Grupo téc</w:t>
      </w:r>
      <w:r w:rsidR="00626921" w:rsidRPr="00C85C82">
        <w:rPr>
          <w:rFonts w:ascii="HendersonSansW00-BasicLight" w:eastAsia="Garamond" w:hAnsi="HendersonSansW00-BasicLight" w:cs="Garamond"/>
        </w:rPr>
        <w:t xml:space="preserve">nico compuesto por funcionarios </w:t>
      </w:r>
      <w:r w:rsidR="00E040E9">
        <w:rPr>
          <w:rFonts w:ascii="HendersonSansW00-BasicLight" w:eastAsia="Garamond" w:hAnsi="HendersonSansW00-BasicLight" w:cs="Garamond"/>
        </w:rPr>
        <w:t>de la Municipalidad de Buenos Aires</w:t>
      </w:r>
    </w:p>
    <w:p w14:paraId="040FD012" w14:textId="77777777" w:rsidR="00BD55DE" w:rsidRPr="00C85C82" w:rsidRDefault="00BD55DE" w:rsidP="00533DC0">
      <w:pPr>
        <w:tabs>
          <w:tab w:val="left" w:pos="-720"/>
          <w:tab w:val="left" w:pos="0"/>
          <w:tab w:val="left" w:pos="720"/>
        </w:tabs>
        <w:spacing w:after="0" w:line="240" w:lineRule="auto"/>
        <w:ind w:right="6"/>
        <w:jc w:val="both"/>
        <w:rPr>
          <w:rFonts w:ascii="HendersonSansW00-BasicLight" w:eastAsia="Garamond" w:hAnsi="HendersonSansW00-BasicLight" w:cs="Garamond"/>
          <w:b/>
        </w:rPr>
      </w:pPr>
    </w:p>
    <w:p w14:paraId="0056B57A" w14:textId="55342C9F" w:rsidR="00C73074" w:rsidRPr="004E1C08" w:rsidRDefault="00A33DDC" w:rsidP="00533DC0">
      <w:pPr>
        <w:tabs>
          <w:tab w:val="left" w:pos="-720"/>
          <w:tab w:val="left" w:pos="0"/>
          <w:tab w:val="left" w:pos="720"/>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b/>
        </w:rPr>
        <w:t xml:space="preserve">COMISIÓN DE SUPERVISIÓN TÉCNICA: </w:t>
      </w:r>
      <w:r w:rsidRPr="00C85C82">
        <w:rPr>
          <w:rFonts w:ascii="HendersonSansW00-BasicLight" w:eastAsia="Garamond" w:hAnsi="HendersonSansW00-BasicLight" w:cs="Garamond"/>
        </w:rPr>
        <w:t xml:space="preserve">Grupo técnico compuesto por funcionarios </w:t>
      </w:r>
      <w:r w:rsidR="00E040E9">
        <w:rPr>
          <w:rFonts w:ascii="HendersonSansW00-BasicLight" w:eastAsia="Garamond" w:hAnsi="HendersonSansW00-BasicLight" w:cs="Garamond"/>
        </w:rPr>
        <w:t xml:space="preserve">de la </w:t>
      </w:r>
      <w:r w:rsidR="00E040E9" w:rsidRPr="004E1C08">
        <w:rPr>
          <w:rFonts w:ascii="HendersonSansW00-BasicLight" w:eastAsia="Garamond" w:hAnsi="HendersonSansW00-BasicLight" w:cs="Garamond"/>
        </w:rPr>
        <w:t>Municipalidad de Buenos Aires y el Instituto de Acueductos y Alcantarillados</w:t>
      </w:r>
    </w:p>
    <w:p w14:paraId="4642436F" w14:textId="2D8CEC44" w:rsidR="00BD55DE" w:rsidRPr="00C85C82" w:rsidRDefault="00A33DDC" w:rsidP="00533DC0">
      <w:pPr>
        <w:tabs>
          <w:tab w:val="left" w:pos="1440"/>
          <w:tab w:val="left" w:pos="2995"/>
          <w:tab w:val="left" w:pos="4680"/>
          <w:tab w:val="left" w:pos="5155"/>
          <w:tab w:val="left" w:pos="7675"/>
          <w:tab w:val="left" w:pos="10555"/>
        </w:tabs>
        <w:spacing w:before="280" w:line="240" w:lineRule="auto"/>
        <w:jc w:val="both"/>
        <w:rPr>
          <w:rFonts w:ascii="HendersonSansW00-BasicLight" w:eastAsia="Garamond" w:hAnsi="HendersonSansW00-BasicLight" w:cs="Garamond"/>
        </w:rPr>
      </w:pPr>
      <w:r w:rsidRPr="004E1C08">
        <w:rPr>
          <w:rFonts w:ascii="HendersonSansW00-BasicLight" w:eastAsia="Garamond" w:hAnsi="HendersonSansW00-BasicLight" w:cs="Garamond"/>
          <w:b/>
        </w:rPr>
        <w:t>El ESTUDIO:</w:t>
      </w:r>
      <w:r w:rsidRPr="004E1C08">
        <w:rPr>
          <w:rFonts w:ascii="HendersonSansW00-BasicLight" w:eastAsia="Garamond" w:hAnsi="HendersonSansW00-BasicLight" w:cs="Garamond"/>
        </w:rPr>
        <w:t xml:space="preserve"> El Estudio denominado </w:t>
      </w:r>
      <w:r w:rsidR="00E26A94" w:rsidRPr="004E1C08">
        <w:rPr>
          <w:rFonts w:ascii="HendersonSansW00-BasicLight" w:eastAsia="Garamond" w:hAnsi="HendersonSansW00-BasicLight" w:cs="Garamond"/>
          <w:b/>
        </w:rPr>
        <w:t>“</w:t>
      </w:r>
      <w:r w:rsidR="006903D6" w:rsidRPr="004E1C08">
        <w:rPr>
          <w:rFonts w:ascii="HendersonSansW00-BasicLight" w:eastAsia="Garamond" w:hAnsi="HendersonSansW00-BasicLight" w:cs="Garamond"/>
          <w:b/>
        </w:rPr>
        <w:t>Estudios Técnicos para la elaboración de planos, diseños y presupuesto según los términos de referencia del AyA, para la infraestructura hídrica de las Asociaciones Administradoras de los Sistemas de Acueductos y Alcantarillados Comunales (ASADAS), en los distritos de Volcán, Brunka, Biolley, Potrero Grande y Pilas del Cantón de Buenos Aires, Puntarenas”.</w:t>
      </w:r>
    </w:p>
    <w:p w14:paraId="7721DD5A" w14:textId="77777777"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EL FONDO:</w:t>
      </w:r>
      <w:r w:rsidRPr="00C85C82">
        <w:rPr>
          <w:rFonts w:ascii="HendersonSansW00-BasicLight" w:eastAsia="Garamond" w:hAnsi="HendersonSansW00-BasicLight" w:cs="Garamond"/>
        </w:rPr>
        <w:t xml:space="preserve"> El Fondo de Preinversión del Ministerio de Planificación Nacional y Política Económica.</w:t>
      </w:r>
    </w:p>
    <w:p w14:paraId="6935B257"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4C079C21" w14:textId="0B1C7689" w:rsidR="00BD55DE" w:rsidRPr="00C85C82" w:rsidRDefault="00611D6D" w:rsidP="00533DC0">
      <w:pPr>
        <w:tabs>
          <w:tab w:val="left" w:pos="-720"/>
          <w:tab w:val="left" w:pos="0"/>
          <w:tab w:val="left" w:pos="720"/>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b/>
        </w:rPr>
        <w:t>El OFERENTE o los OFERENTES:</w:t>
      </w:r>
      <w:r w:rsidRPr="00C85C82">
        <w:rPr>
          <w:rFonts w:ascii="HendersonSansW00-BasicLight" w:eastAsia="Garamond" w:hAnsi="HendersonSansW00-BasicLight" w:cs="Garamond"/>
        </w:rPr>
        <w:t xml:space="preserve"> Persona jurídica, unión de sociedades o instituciones que postulan para la prestación de servicios</w:t>
      </w:r>
      <w:r w:rsidR="00A33DDC" w:rsidRPr="00C85C82">
        <w:rPr>
          <w:rFonts w:ascii="HendersonSansW00-BasicLight" w:eastAsia="Garamond" w:hAnsi="HendersonSansW00-BasicLight" w:cs="Garamond"/>
        </w:rPr>
        <w:t>.</w:t>
      </w:r>
    </w:p>
    <w:p w14:paraId="5AFD86BD"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4B26D7F4" w14:textId="21DDE35F" w:rsidR="00BD55DE" w:rsidRDefault="00A33DDC" w:rsidP="00533DC0">
      <w:pPr>
        <w:tabs>
          <w:tab w:val="left" w:pos="9356"/>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b/>
        </w:rPr>
        <w:t>El REGLAMENTO:</w:t>
      </w:r>
      <w:r w:rsidRPr="00C85C82">
        <w:rPr>
          <w:rFonts w:ascii="HendersonSansW00-BasicLight" w:eastAsia="Garamond" w:hAnsi="HendersonSansW00-BasicLight" w:cs="Garamond"/>
        </w:rPr>
        <w:t xml:space="preserve"> El Reglamento del Fondo de Preinversión, según Decreto Ejecutivo No. 24658-PLAN de 21 de septiembre de 1995, publicado en la Gaceta No. 191 de 9 de octubre de 1995. </w:t>
      </w:r>
    </w:p>
    <w:p w14:paraId="2C377692" w14:textId="77777777" w:rsidR="00BD55DE" w:rsidRPr="00C85C82" w:rsidRDefault="00A33DDC" w:rsidP="00533DC0">
      <w:pPr>
        <w:tabs>
          <w:tab w:val="left" w:pos="1440"/>
          <w:tab w:val="left" w:pos="2995"/>
          <w:tab w:val="left" w:pos="4680"/>
          <w:tab w:val="left" w:pos="5155"/>
          <w:tab w:val="left" w:pos="7675"/>
          <w:tab w:val="left" w:pos="10555"/>
        </w:tabs>
        <w:spacing w:before="280" w:line="240" w:lineRule="auto"/>
        <w:jc w:val="both"/>
        <w:rPr>
          <w:rFonts w:ascii="HendersonSansW00-BasicLight" w:eastAsia="Garamond" w:hAnsi="HendersonSansW00-BasicLight" w:cs="Garamond"/>
          <w:highlight w:val="yellow"/>
        </w:rPr>
      </w:pPr>
      <w:r w:rsidRPr="00C85C82">
        <w:rPr>
          <w:rFonts w:ascii="HendersonSansW00-BasicLight" w:eastAsia="Garamond" w:hAnsi="HendersonSansW00-BasicLight" w:cs="Garamond"/>
          <w:b/>
        </w:rPr>
        <w:t xml:space="preserve">La LEY: </w:t>
      </w:r>
      <w:r w:rsidRPr="00C85C82">
        <w:rPr>
          <w:rFonts w:ascii="HendersonSansW00-BasicLight" w:eastAsia="Garamond" w:hAnsi="HendersonSansW00-BasicLight" w:cs="Garamond"/>
        </w:rPr>
        <w:t>La Ley No. 7376 de 23 de febrero de 1994, publicada en La Gaceta No. 51 de 14 de marzo de 1994.</w:t>
      </w:r>
    </w:p>
    <w:p w14:paraId="66CC8B17" w14:textId="4C04A4BB"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MIDEPLAN:</w:t>
      </w:r>
      <w:r w:rsidRPr="00C85C82">
        <w:rPr>
          <w:rFonts w:ascii="HendersonSansW00-BasicLight" w:eastAsia="Garamond" w:hAnsi="HendersonSansW00-BasicLight" w:cs="Garamond"/>
        </w:rPr>
        <w:t xml:space="preserve"> Ministerio de Planificación Nacional y Política Económica.</w:t>
      </w:r>
    </w:p>
    <w:p w14:paraId="693083CE" w14:textId="77777777" w:rsidR="00B0443B" w:rsidRPr="00C85C82" w:rsidRDefault="00B0443B" w:rsidP="00533DC0">
      <w:pPr>
        <w:spacing w:after="0" w:line="240" w:lineRule="auto"/>
        <w:jc w:val="both"/>
        <w:rPr>
          <w:rFonts w:ascii="HendersonSansW00-BasicLight" w:eastAsia="Garamond" w:hAnsi="HendersonSansW00-BasicLight" w:cs="Garamond"/>
        </w:rPr>
      </w:pPr>
    </w:p>
    <w:p w14:paraId="3ECBD8A6" w14:textId="7002520B" w:rsidR="00B0443B" w:rsidRDefault="00B0443B"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MINAE:</w:t>
      </w:r>
      <w:r w:rsidRPr="00C85C82">
        <w:rPr>
          <w:rFonts w:ascii="HendersonSansW00-BasicLight" w:eastAsia="Garamond" w:hAnsi="HendersonSansW00-BasicLight" w:cs="Garamond"/>
        </w:rPr>
        <w:t xml:space="preserve"> Ministerio de Ambiente y Energía.</w:t>
      </w:r>
    </w:p>
    <w:p w14:paraId="24125321" w14:textId="09277752" w:rsidR="00C07E56" w:rsidRDefault="00C07E56" w:rsidP="00533DC0">
      <w:pPr>
        <w:spacing w:after="0" w:line="240" w:lineRule="auto"/>
        <w:jc w:val="both"/>
        <w:rPr>
          <w:rFonts w:ascii="HendersonSansW00-BasicLight" w:eastAsia="Garamond" w:hAnsi="HendersonSansW00-BasicLight" w:cs="Garamond"/>
        </w:rPr>
      </w:pPr>
    </w:p>
    <w:p w14:paraId="761C0960" w14:textId="77777777" w:rsidR="000872D7" w:rsidRDefault="000872D7" w:rsidP="00533DC0">
      <w:pPr>
        <w:pBdr>
          <w:top w:val="nil"/>
          <w:left w:val="nil"/>
          <w:bottom w:val="nil"/>
          <w:right w:val="nil"/>
          <w:between w:val="nil"/>
        </w:pBdr>
        <w:spacing w:after="0" w:line="240" w:lineRule="auto"/>
        <w:jc w:val="both"/>
        <w:rPr>
          <w:rFonts w:ascii="HendersonSansW00-BasicLight" w:eastAsia="Garamond" w:hAnsi="HendersonSansW00-BasicLight" w:cs="Garamond"/>
          <w:color w:val="000000"/>
        </w:rPr>
      </w:pPr>
      <w:r>
        <w:rPr>
          <w:rFonts w:ascii="HendersonSansW00-BasicLight" w:eastAsia="Garamond" w:hAnsi="HendersonSansW00-BasicLight" w:cs="Garamond"/>
          <w:b/>
          <w:color w:val="000000"/>
        </w:rPr>
        <w:t>OFERENTE</w:t>
      </w:r>
      <w:r w:rsidRPr="00C85C82">
        <w:rPr>
          <w:rFonts w:ascii="HendersonSansW00-BasicLight" w:eastAsia="Garamond" w:hAnsi="HendersonSansW00-BasicLight" w:cs="Garamond"/>
          <w:b/>
          <w:color w:val="000000"/>
        </w:rPr>
        <w:t>:</w:t>
      </w:r>
      <w:r w:rsidRPr="00C85C82">
        <w:rPr>
          <w:rFonts w:ascii="HendersonSansW00-BasicLight" w:eastAsia="Garamond" w:hAnsi="HendersonSansW00-BasicLight" w:cs="Garamond"/>
          <w:color w:val="000000"/>
        </w:rPr>
        <w:t xml:space="preserve"> </w:t>
      </w:r>
      <w:r w:rsidRPr="00C85C82">
        <w:rPr>
          <w:rFonts w:ascii="HendersonSansW00-BasicLight" w:eastAsia="Garamond" w:hAnsi="HendersonSansW00-BasicLight" w:cs="Garamond"/>
        </w:rPr>
        <w:t>Persona jurídica, unión de sociedades o instituciones que</w:t>
      </w:r>
      <w:r w:rsidRPr="00C85C82">
        <w:rPr>
          <w:rFonts w:ascii="HendersonSansW00-BasicLight" w:eastAsia="Garamond" w:hAnsi="HendersonSansW00-BasicLight" w:cs="Garamond"/>
          <w:color w:val="000000"/>
        </w:rPr>
        <w:t xml:space="preserve"> realiza una obra o presta un servicio por contrato, </w:t>
      </w:r>
      <w:r w:rsidRPr="00C85C82">
        <w:rPr>
          <w:rFonts w:ascii="HendersonSansW00-BasicLight" w:eastAsia="Garamond" w:hAnsi="HendersonSansW00-BasicLight" w:cs="Garamond"/>
        </w:rPr>
        <w:t>acorde con la naturaleza del estudio objeto de este cartel</w:t>
      </w:r>
      <w:r w:rsidRPr="00C85C82">
        <w:rPr>
          <w:rFonts w:ascii="HendersonSansW00-BasicLight" w:eastAsia="Garamond" w:hAnsi="HendersonSansW00-BasicLight" w:cs="Garamond"/>
          <w:color w:val="000000"/>
        </w:rPr>
        <w:t>.</w:t>
      </w:r>
    </w:p>
    <w:p w14:paraId="6B1DED0D" w14:textId="77777777" w:rsidR="000872D7" w:rsidRDefault="000872D7" w:rsidP="00533DC0">
      <w:pPr>
        <w:spacing w:after="0" w:line="240" w:lineRule="auto"/>
        <w:jc w:val="both"/>
        <w:rPr>
          <w:rFonts w:ascii="HendersonSansW00-BasicLight" w:eastAsia="Garamond" w:hAnsi="HendersonSansW00-BasicLight" w:cs="Garamond"/>
        </w:rPr>
      </w:pPr>
    </w:p>
    <w:p w14:paraId="4E3F08AB" w14:textId="2F0F1DC3" w:rsidR="003942B5" w:rsidRPr="00C85C82" w:rsidRDefault="003942B5" w:rsidP="00533DC0">
      <w:pPr>
        <w:spacing w:after="0" w:line="240" w:lineRule="auto"/>
        <w:jc w:val="both"/>
        <w:rPr>
          <w:rFonts w:ascii="HendersonSansW00-BasicLight" w:eastAsia="Garamond" w:hAnsi="HendersonSansW00-BasicLight" w:cs="Garamond"/>
        </w:rPr>
      </w:pPr>
      <w:r w:rsidRPr="00AD1BA9">
        <w:rPr>
          <w:rFonts w:ascii="HendersonSansW00-BasicLight" w:eastAsia="Garamond" w:hAnsi="HendersonSansW00-BasicLight" w:cs="Garamond"/>
          <w:b/>
        </w:rPr>
        <w:t>SENARA:</w:t>
      </w:r>
      <w:r>
        <w:rPr>
          <w:rFonts w:ascii="HendersonSansW00-BasicLight" w:eastAsia="Garamond" w:hAnsi="HendersonSansW00-BasicLight" w:cs="Garamond"/>
        </w:rPr>
        <w:t xml:space="preserve"> </w:t>
      </w:r>
      <w:r w:rsidRPr="003942B5">
        <w:rPr>
          <w:rFonts w:ascii="HendersonSansW00-BasicLight" w:eastAsia="Garamond" w:hAnsi="HendersonSansW00-BasicLight" w:cs="Garamond"/>
        </w:rPr>
        <w:t>Servicio Nacional de Aguas Subterráneas, Riego y Avenamiento</w:t>
      </w:r>
      <w:r w:rsidR="00C07E56">
        <w:rPr>
          <w:rFonts w:ascii="HendersonSansW00-BasicLight" w:eastAsia="Garamond" w:hAnsi="HendersonSansW00-BasicLight" w:cs="Garamond"/>
        </w:rPr>
        <w:t>.</w:t>
      </w:r>
    </w:p>
    <w:p w14:paraId="1D2E5304" w14:textId="77777777" w:rsidR="00DA21E1" w:rsidRPr="00C85C82" w:rsidRDefault="00DA21E1" w:rsidP="00533DC0">
      <w:pPr>
        <w:spacing w:after="0" w:line="240" w:lineRule="auto"/>
        <w:jc w:val="both"/>
        <w:rPr>
          <w:rFonts w:ascii="HendersonSansW00-BasicLight" w:eastAsia="Garamond" w:hAnsi="HendersonSansW00-BasicLight" w:cs="Garamond"/>
        </w:rPr>
      </w:pPr>
    </w:p>
    <w:p w14:paraId="4B9996A7" w14:textId="56FF27D1" w:rsidR="00BD55DE" w:rsidRPr="00C85C82" w:rsidRDefault="00A33DDC" w:rsidP="00533DC0">
      <w:pPr>
        <w:tabs>
          <w:tab w:val="left" w:pos="-720"/>
          <w:tab w:val="left" w:pos="0"/>
          <w:tab w:val="left" w:pos="720"/>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b/>
        </w:rPr>
        <w:lastRenderedPageBreak/>
        <w:t>TÉRMINOS DE REFERENCIA:</w:t>
      </w:r>
      <w:r w:rsidRPr="00C85C82">
        <w:rPr>
          <w:rFonts w:ascii="HendersonSansW00-BasicLight" w:eastAsia="Garamond" w:hAnsi="HendersonSansW00-BasicLight" w:cs="Garamond"/>
        </w:rPr>
        <w:t xml:space="preserve"> Descripción detallada de los objetivos generales y específicos, alcance del estudio y de las diferentes actividades que deberán llevarse a cabo en el desarrollo del Estudio en mención. </w:t>
      </w:r>
    </w:p>
    <w:p w14:paraId="15A759FD" w14:textId="393AEE69" w:rsidR="006B2BC2" w:rsidRPr="00C85C82" w:rsidRDefault="006B2BC2" w:rsidP="00533DC0">
      <w:pPr>
        <w:tabs>
          <w:tab w:val="left" w:pos="-720"/>
          <w:tab w:val="left" w:pos="0"/>
          <w:tab w:val="left" w:pos="720"/>
        </w:tabs>
        <w:spacing w:after="0" w:line="240" w:lineRule="auto"/>
        <w:ind w:right="6"/>
        <w:jc w:val="both"/>
        <w:rPr>
          <w:rFonts w:ascii="HendersonSansW00-BasicLight" w:eastAsia="Garamond" w:hAnsi="HendersonSansW00-BasicLight" w:cs="Garamond"/>
        </w:rPr>
      </w:pPr>
    </w:p>
    <w:p w14:paraId="15321352" w14:textId="39D390C4" w:rsidR="006B2BC2" w:rsidRDefault="006B2BC2" w:rsidP="00533DC0">
      <w:pPr>
        <w:pBdr>
          <w:top w:val="nil"/>
          <w:left w:val="nil"/>
          <w:bottom w:val="nil"/>
          <w:right w:val="nil"/>
          <w:between w:val="nil"/>
        </w:pBdr>
        <w:tabs>
          <w:tab w:val="left" w:pos="-720"/>
          <w:tab w:val="left" w:pos="0"/>
          <w:tab w:val="left" w:pos="720"/>
        </w:tabs>
        <w:spacing w:after="0" w:line="240" w:lineRule="auto"/>
        <w:jc w:val="both"/>
        <w:rPr>
          <w:rFonts w:ascii="HendersonSansW00-BasicLight" w:eastAsia="Garamond" w:hAnsi="HendersonSansW00-BasicLight" w:cs="Garamond"/>
          <w:b/>
          <w:bCs/>
          <w:color w:val="000000"/>
          <w:lang w:val="es"/>
        </w:rPr>
      </w:pPr>
      <w:r w:rsidRPr="00C85C82">
        <w:rPr>
          <w:rFonts w:ascii="HendersonSansW00-BasicLight" w:eastAsia="Garamond" w:hAnsi="HendersonSansW00-BasicLight" w:cs="Garamond"/>
          <w:b/>
          <w:bCs/>
          <w:color w:val="000000"/>
          <w:lang w:val="es"/>
        </w:rPr>
        <w:t>MARCO DE REFERENCIA:</w:t>
      </w:r>
    </w:p>
    <w:p w14:paraId="32858887" w14:textId="77777777" w:rsidR="00522C14" w:rsidRPr="003A0589" w:rsidRDefault="00522C14" w:rsidP="00533DC0">
      <w:pPr>
        <w:pBdr>
          <w:top w:val="nil"/>
          <w:left w:val="nil"/>
          <w:bottom w:val="nil"/>
          <w:right w:val="nil"/>
          <w:between w:val="nil"/>
        </w:pBdr>
        <w:tabs>
          <w:tab w:val="left" w:pos="-720"/>
          <w:tab w:val="left" w:pos="0"/>
          <w:tab w:val="left" w:pos="720"/>
        </w:tabs>
        <w:spacing w:after="0" w:line="240" w:lineRule="auto"/>
        <w:jc w:val="both"/>
        <w:rPr>
          <w:rFonts w:ascii="HendersonSansW00-BasicLight" w:eastAsia="Garamond" w:hAnsi="HendersonSansW00-BasicLight" w:cs="Garamond"/>
        </w:rPr>
      </w:pPr>
    </w:p>
    <w:p w14:paraId="1E1223F9" w14:textId="77777777" w:rsidR="003A0589" w:rsidRPr="003A0589" w:rsidRDefault="003A0589" w:rsidP="00533DC0">
      <w:pPr>
        <w:spacing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Se identifica la normativa vigente que se debe cumplir según la naturaleza del proyecto y los procesos que se deben desarrollar en cada una de las etapas del ciclo de vida del proyecto. Algunos de los elementos que se deben considerar son: </w:t>
      </w:r>
    </w:p>
    <w:p w14:paraId="38FAD203" w14:textId="77777777" w:rsidR="003A0589" w:rsidRPr="003A0589" w:rsidRDefault="003A0589" w:rsidP="00533DC0">
      <w:pPr>
        <w:autoSpaceDE w:val="0"/>
        <w:autoSpaceDN w:val="0"/>
        <w:adjustRightInd w:val="0"/>
        <w:spacing w:after="0" w:line="240" w:lineRule="auto"/>
        <w:rPr>
          <w:rFonts w:ascii="HendersonSansW00-BasicLight" w:eastAsia="Garamond" w:hAnsi="HendersonSansW00-BasicLight" w:cs="Garamond"/>
          <w:b/>
        </w:rPr>
      </w:pPr>
      <w:r w:rsidRPr="004E1C08">
        <w:rPr>
          <w:rFonts w:ascii="HendersonSansW00-BasicLight" w:eastAsia="Garamond" w:hAnsi="HendersonSansW00-BasicLight" w:cs="Garamond"/>
          <w:b/>
        </w:rPr>
        <w:t>Leyes</w:t>
      </w:r>
      <w:r w:rsidRPr="003A0589">
        <w:rPr>
          <w:rFonts w:ascii="HendersonSansW00-BasicLight" w:eastAsia="Garamond" w:hAnsi="HendersonSansW00-BasicLight" w:cs="Garamond"/>
          <w:b/>
        </w:rPr>
        <w:t xml:space="preserve"> </w:t>
      </w:r>
    </w:p>
    <w:p w14:paraId="09578CAB" w14:textId="77777777" w:rsidR="003A0589" w:rsidRPr="003A0589" w:rsidRDefault="003A0589" w:rsidP="00533DC0">
      <w:pPr>
        <w:autoSpaceDE w:val="0"/>
        <w:autoSpaceDN w:val="0"/>
        <w:adjustRightInd w:val="0"/>
        <w:spacing w:after="0" w:line="240" w:lineRule="auto"/>
        <w:rPr>
          <w:rFonts w:ascii="HendersonSansW00-BasicLight" w:eastAsia="Garamond" w:hAnsi="HendersonSansW00-BasicLight" w:cs="Garamond"/>
        </w:rPr>
      </w:pPr>
    </w:p>
    <w:p w14:paraId="7EBC2BD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Constitución Política de la República de Costa Rica. (1949). </w:t>
      </w:r>
    </w:p>
    <w:p w14:paraId="13EB18B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Código Civil, (Ley N°63, 1887). </w:t>
      </w:r>
    </w:p>
    <w:p w14:paraId="3D203278"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Aguas, (Ley N°276, 1942). </w:t>
      </w:r>
    </w:p>
    <w:p w14:paraId="173D0774"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Construcciones, (Ley N°833, 1949). </w:t>
      </w:r>
    </w:p>
    <w:p w14:paraId="1B53A92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General de Agua Potable, (Ley N°1634, 1953). </w:t>
      </w:r>
    </w:p>
    <w:p w14:paraId="738D5053"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Constitutiva del Instituto Costarricense de Acueductos y Alcantarillados, (Ley N°2726, 1961). </w:t>
      </w:r>
    </w:p>
    <w:p w14:paraId="0F4F7678"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Orgánica del Colegio Federado de Ingenieros y Arquitectos, (Ley N°3663, 1966). </w:t>
      </w:r>
    </w:p>
    <w:p w14:paraId="768085E0"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Planificación Urbana, (Ley N°4240, 1968). </w:t>
      </w:r>
    </w:p>
    <w:p w14:paraId="3B9CC9A0"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para el Ejercicio de la Topografía y la Agrimensura, (Ley N°4294, 1968). </w:t>
      </w:r>
    </w:p>
    <w:p w14:paraId="08EFE4A8"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General de Caminos Públicos, (Ley N°5060,1972). </w:t>
      </w:r>
    </w:p>
    <w:p w14:paraId="7623B93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General de Salud, (Ley N°5395, 1973). </w:t>
      </w:r>
    </w:p>
    <w:p w14:paraId="5385C8C0"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General de la Administración Pública, (Ley N°6227, 1978). </w:t>
      </w:r>
    </w:p>
    <w:p w14:paraId="4E735021"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del Catastro Nacional (Ley N°6545, 1981) </w:t>
      </w:r>
    </w:p>
    <w:p w14:paraId="38D5EEC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Creación del Servicio de Parques Nacionales y Reservas Biológicas, (Ley N°6794, 1982). </w:t>
      </w:r>
    </w:p>
    <w:p w14:paraId="023664F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Creación del Sistema Nacional de Aguas Subterráneas, Riego y Avenamiento (SENARA), (Ley N°6877, 1983). </w:t>
      </w:r>
    </w:p>
    <w:p w14:paraId="7BCC50A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Conservación de la Vida Silvestre, (Ley N°7317, 1992). </w:t>
      </w:r>
    </w:p>
    <w:p w14:paraId="683F6A0A"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Orgánica del Ambiente, (Ley N°7554, 1995). </w:t>
      </w:r>
    </w:p>
    <w:p w14:paraId="63D4022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Forestal, (Ley N°7575, 1996). </w:t>
      </w:r>
    </w:p>
    <w:p w14:paraId="5762BFE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Código Municipal, (Ley N°7794, 1998). </w:t>
      </w:r>
    </w:p>
    <w:p w14:paraId="0268A377"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sobre el Uso, Manejo y Conservación de Suelos, (Ley N°7779, 1998). </w:t>
      </w:r>
    </w:p>
    <w:p w14:paraId="0353B598"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de Biodiversidad, (Ley N°7788, 1998). </w:t>
      </w:r>
    </w:p>
    <w:p w14:paraId="3D6A45E3"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Sistema Nacional para la Calidad, (Ley N°8279, 2002). </w:t>
      </w:r>
    </w:p>
    <w:p w14:paraId="3107F2BF"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Orgánica del Colegio de Ingenieros Químicos y profesionales afines y Ley Orgánica del Colegio de Químicos de Costa Rica (Ley N°8412, 2004) </w:t>
      </w:r>
    </w:p>
    <w:p w14:paraId="18F8610E"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Declaratoria del Servicio de Hidrantes como Servicio Público y Reforma de Leyes Conexas, (Ley N°8641, 2008). </w:t>
      </w:r>
    </w:p>
    <w:p w14:paraId="0BB01D7F"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para la Gestión Integral de Residuos, Ley N°8839, 2010). </w:t>
      </w:r>
    </w:p>
    <w:p w14:paraId="7E68489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Ley sobre la Zona Marítimo Terrestre, (Ley N°6043, 2012). </w:t>
      </w:r>
    </w:p>
    <w:p w14:paraId="01B565DB" w14:textId="77777777" w:rsidR="003A0589" w:rsidRDefault="003A0589" w:rsidP="00533DC0">
      <w:pPr>
        <w:adjustRightInd w:val="0"/>
        <w:spacing w:after="155" w:line="240" w:lineRule="auto"/>
        <w:rPr>
          <w:rFonts w:ascii="Arial" w:hAnsi="Arial" w:cs="Arial"/>
          <w:color w:val="000000"/>
        </w:rPr>
      </w:pPr>
    </w:p>
    <w:p w14:paraId="2711416D" w14:textId="77777777" w:rsidR="003A0589" w:rsidRPr="003A0589" w:rsidRDefault="003A0589" w:rsidP="00533DC0">
      <w:pPr>
        <w:autoSpaceDE w:val="0"/>
        <w:autoSpaceDN w:val="0"/>
        <w:adjustRightInd w:val="0"/>
        <w:spacing w:after="0" w:line="240" w:lineRule="auto"/>
        <w:rPr>
          <w:rFonts w:ascii="HendersonSansW00-BasicLight" w:eastAsia="Garamond" w:hAnsi="HendersonSansW00-BasicLight" w:cs="Garamond"/>
          <w:b/>
        </w:rPr>
      </w:pPr>
      <w:r w:rsidRPr="004E1C08">
        <w:rPr>
          <w:rFonts w:ascii="HendersonSansW00-BasicLight" w:eastAsia="Garamond" w:hAnsi="HendersonSansW00-BasicLight" w:cs="Garamond"/>
          <w:b/>
        </w:rPr>
        <w:t>Reglamentos y Códigos</w:t>
      </w:r>
    </w:p>
    <w:p w14:paraId="5C07B549" w14:textId="77777777" w:rsidR="003A0589" w:rsidRPr="00CC1C42" w:rsidRDefault="003A0589" w:rsidP="00533DC0">
      <w:pPr>
        <w:autoSpaceDE w:val="0"/>
        <w:autoSpaceDN w:val="0"/>
        <w:adjustRightInd w:val="0"/>
        <w:spacing w:after="0" w:line="240" w:lineRule="auto"/>
        <w:ind w:left="360"/>
        <w:jc w:val="both"/>
        <w:rPr>
          <w:rFonts w:ascii="Arial" w:hAnsi="Arial" w:cs="Arial"/>
          <w:color w:val="000000"/>
          <w:lang w:val="es-ES"/>
        </w:rPr>
      </w:pPr>
    </w:p>
    <w:p w14:paraId="2EC29553"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el Ejercicio de la Topografía y Agrimensura (Decreto N°21, 1970). </w:t>
      </w:r>
    </w:p>
    <w:p w14:paraId="79E768E4"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Interior General del Colegio Federado de Ingenieros y Arquitectos de Costa Rica, (Decreto N°3414-T, 1973). </w:t>
      </w:r>
    </w:p>
    <w:p w14:paraId="3DAFE791"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lastRenderedPageBreak/>
        <w:t xml:space="preserve">Norma sobre uso de colores en seguridad y su simbología, Decreto Ejecutivo Nº12715 (1981). </w:t>
      </w:r>
    </w:p>
    <w:p w14:paraId="20537F84"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General del SENARA (Servicio Nacional Aguas Subterráneas Riego y Avenamiento), (Decreto N°16277-MAG, 1985). </w:t>
      </w:r>
    </w:p>
    <w:p w14:paraId="3E4FBCA0"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la Contratación de Servicios de Consultoría en Ingeniería y Arquitectura, (Asamblea de Representantes, Sesión N°6-88-A.E.R, 1988). </w:t>
      </w:r>
    </w:p>
    <w:p w14:paraId="14041F84"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Procedimiento para la Inscripción del Profesional Responsable de una Obra, (Junta Directiva General N°14-92/93-GO, 1993). </w:t>
      </w:r>
    </w:p>
    <w:p w14:paraId="7D39D92D"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Vertido y Reuso de Aguas Residuales, (Decreto Nº26042-S-MINAE, 1997). </w:t>
      </w:r>
    </w:p>
    <w:p w14:paraId="2F4D8577"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el trámite de visado de planos para la construcción (Decreto Ejecutivo No. 27967-MP-MIVAH-S-MEIC, 1999). </w:t>
      </w:r>
    </w:p>
    <w:p w14:paraId="4C05F248"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a la Ley de Uso, Manejo y Conservación de Suelos, (Decreto N°29375 MAG-MINAE-S-HACIENDA-MOPT, 2001). </w:t>
      </w:r>
    </w:p>
    <w:p w14:paraId="1B2C9C0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Normas Técnicas y Procedimientos para el Mantenimiento Preventivo de los Sistemas de Abastecimiento de Agua, (Acuerdo Junta Directiva AyA, N°2001-175). </w:t>
      </w:r>
    </w:p>
    <w:p w14:paraId="1969C921"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general sobre los procedimientos de evaluación de impacto ambiental (EIA), (Decreto N°31849-MINAE-SALUD-MOPT-MAG-MEIC, 2004). </w:t>
      </w:r>
    </w:p>
    <w:p w14:paraId="0A55A6A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Especial del Administrador de Proyectos de Construcción (APC) del Colegio Federado de Ingenieros y de Arquitectos (2005). </w:t>
      </w:r>
    </w:p>
    <w:p w14:paraId="12E6CF80"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las Asociaciones Administradoras de Sistemas de Acueductos y Alcantarillados Comunales (Decreto N°32529-S-MINAE-2005). </w:t>
      </w:r>
    </w:p>
    <w:p w14:paraId="3BB326E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Canon por concepto de aprovechamiento de aguas, (Decreto N°32868- MINAE, 2006). </w:t>
      </w:r>
    </w:p>
    <w:p w14:paraId="62E78D9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Acuerdo tomado en el punto IX, inciso a) de la sesión Nº02-2006 del Consejo Nacional para la Calidad, (Decreto N°33623, 2007). </w:t>
      </w:r>
    </w:p>
    <w:p w14:paraId="682F7307"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Vertido y Reúso de Aguas Residuales, (Decreto N°33601, 2007). </w:t>
      </w:r>
    </w:p>
    <w:p w14:paraId="7F5CD4F1"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la aplicación del artículo 38 de la Ley de Planificación Urbana en obras de acueductos y alcantarillados de AyA, (Acuerdo 2007-450). </w:t>
      </w:r>
    </w:p>
    <w:p w14:paraId="276215FE"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a la Ley de Declaratoria del Servicio de Hidrantes como Servicio Público y Reforma de Leyes Conexas, N°8641 del 11 de junio de 2008, (Decreto Nº35206-MP-MINAET, 2008). </w:t>
      </w:r>
    </w:p>
    <w:p w14:paraId="78F26F3C"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a la Ley de Catastro Nacional (Decreto N°34331-J, 2007 y Decreto N°34763-J, 2008). </w:t>
      </w:r>
    </w:p>
    <w:p w14:paraId="07A2595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del Canon Ambiental por Vertidos. Decreto Ejecutivo 34431-MINAE-S, (Decreto N°34431, 2008). </w:t>
      </w:r>
    </w:p>
    <w:p w14:paraId="7A495077"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Norma Técnica de Hidrómetros para el Servicio de Acueducto AR-HSA- 2008, (Resolución N° RRG-8867-2008). </w:t>
      </w:r>
    </w:p>
    <w:p w14:paraId="69A0CF7A"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el Permiso de Perforación y Concesión de Agua para el Autoabastecimiento en Condominios. (Decreto N°35271-S-MINAET, 2009). </w:t>
      </w:r>
    </w:p>
    <w:p w14:paraId="59446B0A"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el Control Nacional de Fraccionamientos y Urbanizaciones, (INVU Acta N°5780, 2009). </w:t>
      </w:r>
    </w:p>
    <w:p w14:paraId="30CB31CE"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Código de Cimentaciones de Costa Rica (Segunda Edición 2009). </w:t>
      </w:r>
    </w:p>
    <w:p w14:paraId="7E427723"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registro de pozos sin número y habilitar el trámite de concesión de aguas subterráneas, (Decreto Nº35882-MINAET, 2010). </w:t>
      </w:r>
    </w:p>
    <w:p w14:paraId="56E1689C"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Perforación del Subsuelo para la Exploración y Aprovechamiento de Aguas Subterráneas, (Decreto N°35884, 2010). </w:t>
      </w:r>
    </w:p>
    <w:p w14:paraId="2076FBEB"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Oficialización del Código Eléctrico de Costa Rica para la Seguridad de la Vida y de la Propiedad (RTCR 458:2011) (Decreto No. 36979-MEIC). </w:t>
      </w:r>
    </w:p>
    <w:p w14:paraId="0FAB38A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el Trámite de Revisión de los Planos para la Construcción, (Decreto Nº36550-MP-MIVAH-S-MEIC, 2011). </w:t>
      </w:r>
    </w:p>
    <w:p w14:paraId="36A8D65A"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Metodologías Hidrogeológicas para la Evaluación del Recurso Hídrico, (Acuerdo 60-2012). </w:t>
      </w:r>
    </w:p>
    <w:p w14:paraId="06340E5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lastRenderedPageBreak/>
        <w:t xml:space="preserve">Código Sísmico de Costa Rica 2010, (Decreto Nº37070-MIVAH-MICIT-MOPT, 2012). </w:t>
      </w:r>
    </w:p>
    <w:p w14:paraId="1616082E"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Reforma Reglamento Especial del Administrador de Proyectos de Construcción (APC) del Colegio Federado de Ingenieros y de Arquitectos (2012). </w:t>
      </w:r>
    </w:p>
    <w:p w14:paraId="66447C83"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Reforma y Adición al Decreto Ejecutivo N°36979-MEIC, RTCR 458:2011 Reglamento de Oficialización del Código Eléctrico de Costa Rica para la Seguridad de la Vida y de la Propiedad, Publicado en la Gaceta N°33 del 15 de febrero del 2012, (Decreto N°38440-MEIC, 2013). </w:t>
      </w:r>
    </w:p>
    <w:p w14:paraId="6C69A972"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la Constitución e Inscripción de Servidumbre de Acueducto y/o Alcantarillado y de paso a favor del AyA para otorgamiento de servicios. (Gaceta N°43, 3 de marzo del 2014). </w:t>
      </w:r>
    </w:p>
    <w:p w14:paraId="2C965DEC"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Reforma Reglamento para el Trámite de Revisión de los Planos para la Construcción y el Reglamento para el Trámite de Visado de Planos para la Construcción de Edificaciones en la Zona Marítimo Terrestre (Decreto N°38441-MP-MIVAH-S-MEIC-TUR, 2014). </w:t>
      </w:r>
    </w:p>
    <w:p w14:paraId="1F9DE29B"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Regulación de la responsabilidad profesional del ingeniero topógrafo en obras de ingeniería y arquitectura (acuerdo de junta directiva del CFIA, sesión Nº29-14/15-G.O., 2015). </w:t>
      </w:r>
    </w:p>
    <w:p w14:paraId="070B0CCF"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Código Geotécnico de Taludes y Laderas de Costa Rica (Edición 2015). </w:t>
      </w:r>
    </w:p>
    <w:p w14:paraId="4DF71307"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Técnico Prestación de los Servicios de Acueducto, Alcantarillado Sanitario e Hidrantes AR-PSAYA-2015, (Acuerdo Junta Directiva ARESEP 05-14-2016). </w:t>
      </w:r>
    </w:p>
    <w:p w14:paraId="1AA1C55E"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Resolución No. 2373-2016-Setena: “Proyectos de muy bajo impacto” y sus modificaciones posteriores. </w:t>
      </w:r>
    </w:p>
    <w:p w14:paraId="4B1D681C"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Términos de referencia para presentar estudios hidrogeológicos a la Dirección de Investigación y Gestión Hídrica (DIGH) del Senara, proyectos nuevos o existentes y trámites de perforación de pozos (2017). </w:t>
      </w:r>
    </w:p>
    <w:p w14:paraId="422FE685"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Norma técnica para diseño y construcción de sistemas de abastecimiento de agua potable, de saneamiento y pluvial Instituto Costarricense de Acueductos y Alcantarillados, (Acuerdo Junta Directiva AyA, N°2017-281). </w:t>
      </w:r>
    </w:p>
    <w:p w14:paraId="42AB48D1"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Código de Instalaciones Hidráulicas y Sanitarias en Edificaciones (Edición 2017). </w:t>
      </w:r>
    </w:p>
    <w:p w14:paraId="40156539"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la calidad del Agua Potable, (Decreto N°38924-S, 2015) (Decreto N°41499-2018). </w:t>
      </w:r>
    </w:p>
    <w:p w14:paraId="0FD919BF"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de Construcciones, publicado en el Alcance N°62 La Gaceta N°54 del 22 de marzo del 2018. </w:t>
      </w:r>
    </w:p>
    <w:p w14:paraId="16BD664B" w14:textId="77777777" w:rsidR="003A0589" w:rsidRPr="003A0589" w:rsidRDefault="003A0589" w:rsidP="001F666B">
      <w:pPr>
        <w:numPr>
          <w:ilvl w:val="0"/>
          <w:numId w:val="14"/>
        </w:numPr>
        <w:autoSpaceDE w:val="0"/>
        <w:autoSpaceDN w:val="0"/>
        <w:adjustRightInd w:val="0"/>
        <w:spacing w:after="0" w:line="240" w:lineRule="auto"/>
        <w:jc w:val="both"/>
        <w:rPr>
          <w:rFonts w:ascii="HendersonSansW00-BasicLight" w:eastAsia="Garamond" w:hAnsi="HendersonSansW00-BasicLight" w:cs="Garamond"/>
        </w:rPr>
      </w:pPr>
      <w:r w:rsidRPr="003A0589">
        <w:rPr>
          <w:rFonts w:ascii="HendersonSansW00-BasicLight" w:eastAsia="Garamond" w:hAnsi="HendersonSansW00-BasicLight" w:cs="Garamond"/>
        </w:rPr>
        <w:t xml:space="preserve">Reglamento para la prestación de los servicios de AyA (Acuerdo de Junta Directiva de AyA N°2018-0291). </w:t>
      </w:r>
    </w:p>
    <w:p w14:paraId="7221DD02" w14:textId="1B036034" w:rsidR="00BD55DE" w:rsidRPr="003A0589" w:rsidRDefault="00BD55DE" w:rsidP="00533DC0">
      <w:pPr>
        <w:tabs>
          <w:tab w:val="left" w:pos="9356"/>
        </w:tabs>
        <w:spacing w:after="0" w:line="240" w:lineRule="auto"/>
        <w:ind w:right="6"/>
        <w:jc w:val="both"/>
        <w:rPr>
          <w:rFonts w:ascii="HendersonSansW00-BasicLight" w:eastAsia="Garamond" w:hAnsi="HendersonSansW00-BasicLight" w:cs="Garamond"/>
          <w:lang w:val="es-ES"/>
        </w:rPr>
      </w:pPr>
    </w:p>
    <w:p w14:paraId="18289721" w14:textId="2B8F0AC9" w:rsidR="00BD55DE" w:rsidRDefault="00BD55DE" w:rsidP="00533DC0">
      <w:pPr>
        <w:tabs>
          <w:tab w:val="left" w:pos="9356"/>
        </w:tabs>
        <w:spacing w:after="0" w:line="240" w:lineRule="auto"/>
        <w:ind w:right="6"/>
        <w:jc w:val="both"/>
        <w:rPr>
          <w:rFonts w:ascii="HendersonSansW00-BasicLight" w:eastAsia="Garamond" w:hAnsi="HendersonSansW00-BasicLight" w:cs="Garamond"/>
        </w:rPr>
      </w:pPr>
    </w:p>
    <w:p w14:paraId="299D8B93" w14:textId="31C285CD"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0E93C5CB" w14:textId="2A6F9E8A"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1721D83F" w14:textId="2570BD64"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711E6D2F" w14:textId="29718E42"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046B4CED" w14:textId="150ED6EB"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7557A878" w14:textId="0FC74ED2" w:rsidR="001D0363" w:rsidRDefault="001D0363" w:rsidP="00533DC0">
      <w:pPr>
        <w:tabs>
          <w:tab w:val="left" w:pos="9356"/>
        </w:tabs>
        <w:spacing w:after="0" w:line="240" w:lineRule="auto"/>
        <w:ind w:right="6"/>
        <w:jc w:val="both"/>
        <w:rPr>
          <w:rFonts w:ascii="HendersonSansW00-BasicLight" w:eastAsia="Garamond" w:hAnsi="HendersonSansW00-BasicLight" w:cs="Garamond"/>
        </w:rPr>
      </w:pPr>
    </w:p>
    <w:p w14:paraId="311D73B0" w14:textId="11531CE8" w:rsidR="000872D7" w:rsidRDefault="000872D7" w:rsidP="00533DC0">
      <w:pPr>
        <w:tabs>
          <w:tab w:val="left" w:pos="9356"/>
        </w:tabs>
        <w:spacing w:after="0" w:line="240" w:lineRule="auto"/>
        <w:ind w:right="6"/>
        <w:jc w:val="both"/>
        <w:rPr>
          <w:rFonts w:ascii="HendersonSansW00-BasicLight" w:eastAsia="Garamond" w:hAnsi="HendersonSansW00-BasicLight" w:cs="Garamond"/>
        </w:rPr>
      </w:pPr>
    </w:p>
    <w:p w14:paraId="3C88B13F" w14:textId="09ECED3A" w:rsidR="00533DC0" w:rsidRDefault="00533DC0" w:rsidP="00533DC0">
      <w:pPr>
        <w:tabs>
          <w:tab w:val="left" w:pos="9356"/>
        </w:tabs>
        <w:spacing w:after="0" w:line="240" w:lineRule="auto"/>
        <w:ind w:right="6"/>
        <w:jc w:val="both"/>
        <w:rPr>
          <w:rFonts w:ascii="HendersonSansW00-BasicLight" w:eastAsia="Garamond" w:hAnsi="HendersonSansW00-BasicLight" w:cs="Garamond"/>
        </w:rPr>
      </w:pPr>
    </w:p>
    <w:p w14:paraId="6155844A" w14:textId="3FB7A4D8" w:rsidR="00533DC0" w:rsidRDefault="00533DC0" w:rsidP="00533DC0">
      <w:pPr>
        <w:tabs>
          <w:tab w:val="left" w:pos="9356"/>
        </w:tabs>
        <w:spacing w:after="0" w:line="240" w:lineRule="auto"/>
        <w:ind w:right="6"/>
        <w:jc w:val="both"/>
        <w:rPr>
          <w:rFonts w:ascii="HendersonSansW00-BasicLight" w:eastAsia="Garamond" w:hAnsi="HendersonSansW00-BasicLight" w:cs="Garamond"/>
        </w:rPr>
      </w:pPr>
    </w:p>
    <w:p w14:paraId="033BC9D7" w14:textId="77777777" w:rsidR="00533DC0" w:rsidRDefault="00533DC0" w:rsidP="00533DC0">
      <w:pPr>
        <w:tabs>
          <w:tab w:val="left" w:pos="9356"/>
        </w:tabs>
        <w:spacing w:after="0" w:line="240" w:lineRule="auto"/>
        <w:ind w:right="6"/>
        <w:jc w:val="both"/>
        <w:rPr>
          <w:rFonts w:ascii="HendersonSansW00-BasicLight" w:eastAsia="Garamond" w:hAnsi="HendersonSansW00-BasicLight" w:cs="Garamond"/>
        </w:rPr>
      </w:pPr>
    </w:p>
    <w:p w14:paraId="66064E0B" w14:textId="77777777" w:rsidR="000872D7" w:rsidRDefault="000872D7" w:rsidP="00533DC0">
      <w:pPr>
        <w:tabs>
          <w:tab w:val="left" w:pos="9356"/>
        </w:tabs>
        <w:spacing w:after="0" w:line="240" w:lineRule="auto"/>
        <w:ind w:right="6"/>
        <w:jc w:val="both"/>
        <w:rPr>
          <w:rFonts w:ascii="HendersonSansW00-BasicLight" w:eastAsia="Garamond" w:hAnsi="HendersonSansW00-BasicLight" w:cs="Garamond"/>
        </w:rPr>
      </w:pPr>
    </w:p>
    <w:p w14:paraId="0BEB17DF" w14:textId="77777777" w:rsidR="000872D7" w:rsidRDefault="000872D7" w:rsidP="00533DC0">
      <w:pPr>
        <w:tabs>
          <w:tab w:val="left" w:pos="9356"/>
        </w:tabs>
        <w:spacing w:after="0" w:line="240" w:lineRule="auto"/>
        <w:ind w:right="6"/>
        <w:jc w:val="both"/>
        <w:rPr>
          <w:rFonts w:ascii="HendersonSansW00-BasicLight" w:eastAsia="Garamond" w:hAnsi="HendersonSansW00-BasicLight" w:cs="Garamond"/>
        </w:rPr>
      </w:pPr>
    </w:p>
    <w:p w14:paraId="6C279159" w14:textId="77777777" w:rsidR="001D0363" w:rsidRPr="00C85C82" w:rsidRDefault="001D0363" w:rsidP="00533DC0">
      <w:pPr>
        <w:tabs>
          <w:tab w:val="left" w:pos="9356"/>
        </w:tabs>
        <w:spacing w:after="0" w:line="240" w:lineRule="auto"/>
        <w:ind w:right="6"/>
        <w:jc w:val="both"/>
        <w:rPr>
          <w:rFonts w:ascii="HendersonSansW00-BasicLight" w:eastAsia="Garamond" w:hAnsi="HendersonSansW00-BasicLight" w:cs="Garamond"/>
        </w:rPr>
      </w:pPr>
    </w:p>
    <w:p w14:paraId="683A9B23" w14:textId="77777777" w:rsidR="00BD55DE" w:rsidRPr="00C85C82" w:rsidRDefault="00A33DDC" w:rsidP="00533DC0">
      <w:pPr>
        <w:keepNext/>
        <w:keepLines/>
        <w:spacing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lastRenderedPageBreak/>
        <w:t>INTRODUCCIÓN</w:t>
      </w:r>
    </w:p>
    <w:p w14:paraId="2B5E78DD" w14:textId="77777777" w:rsidR="00BD55DE" w:rsidRPr="00C85C82" w:rsidRDefault="00BD55DE" w:rsidP="00533DC0">
      <w:pPr>
        <w:spacing w:after="0" w:line="240" w:lineRule="auto"/>
        <w:rPr>
          <w:rFonts w:ascii="HendersonSansW00-BasicLight" w:hAnsi="HendersonSansW00-BasicLight"/>
        </w:rPr>
      </w:pPr>
    </w:p>
    <w:p w14:paraId="624F8662" w14:textId="403C53C3" w:rsidR="00BD55DE" w:rsidRPr="00C85C82" w:rsidRDefault="00A33DDC" w:rsidP="00533DC0">
      <w:pPr>
        <w:spacing w:after="0" w:line="240" w:lineRule="auto"/>
        <w:jc w:val="both"/>
        <w:rPr>
          <w:rFonts w:ascii="HendersonSansW00-BasicLight" w:eastAsia="Garamond" w:hAnsi="HendersonSansW00-BasicLight" w:cs="Garamond"/>
          <w:u w:val="single"/>
        </w:rPr>
      </w:pPr>
      <w:bookmarkStart w:id="2" w:name="_heading=h.3znysh7" w:colFirst="0" w:colLast="0"/>
      <w:bookmarkEnd w:id="2"/>
      <w:r w:rsidRPr="00C85C82">
        <w:rPr>
          <w:rFonts w:ascii="HendersonSansW00-BasicLight" w:eastAsia="Garamond" w:hAnsi="HendersonSansW00-BasicLight" w:cs="Garamond"/>
        </w:rPr>
        <w:t xml:space="preserve">En el presente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se detallan </w:t>
      </w:r>
      <w:r w:rsidRPr="004E1C08">
        <w:rPr>
          <w:rFonts w:ascii="HendersonSansW00-BasicLight" w:eastAsia="Garamond" w:hAnsi="HendersonSansW00-BasicLight" w:cs="Garamond"/>
        </w:rPr>
        <w:t>las condiciones generales de la primera etapa del Concurso Público para la realización de</w:t>
      </w:r>
      <w:r w:rsidR="003A0589" w:rsidRPr="004E1C08">
        <w:rPr>
          <w:rFonts w:ascii="HendersonSansW00-BasicLight" w:eastAsia="Garamond" w:hAnsi="HendersonSansW00-BasicLight" w:cs="Garamond"/>
        </w:rPr>
        <w:t xml:space="preserve"> los </w:t>
      </w:r>
      <w:r w:rsidR="003A0589" w:rsidRPr="004E1C08">
        <w:rPr>
          <w:rFonts w:ascii="HendersonSansW00-BasicLight" w:eastAsia="Garamond" w:hAnsi="HendersonSansW00-BasicLight" w:cs="Garamond"/>
          <w:b/>
        </w:rPr>
        <w:t>“Estudios Técnicos para la elaboración de planos, diseños y presupuesto según los términos de referencia del AyA, para la infraestructura hídrica de las Asociaciones Administradoras de los Sistemas de Acueductos y Alcantarillados Comunales (ASADAS), en los distritos de Volcán, Brunka, Biolley, Potrero Grande y Pilas del Cantón de Buenos Aires, Puntarenas”.</w:t>
      </w:r>
      <w:r w:rsidR="003A0589">
        <w:rPr>
          <w:rFonts w:ascii="HendersonSansW00-BasicLight" w:hAnsi="HendersonSansW00-BasicLight" w:cstheme="minorHAnsi"/>
          <w:b/>
        </w:rPr>
        <w:t xml:space="preserve"> </w:t>
      </w:r>
      <w:r w:rsidR="003A0589" w:rsidRPr="003A0589">
        <w:rPr>
          <w:rFonts w:ascii="HendersonSansW00-BasicLight" w:hAnsi="HendersonSansW00-BasicLight" w:cstheme="minorHAnsi"/>
        </w:rPr>
        <w:t>E</w:t>
      </w:r>
      <w:r w:rsidRPr="003A0589">
        <w:rPr>
          <w:rFonts w:ascii="HendersonSansW00-BasicLight" w:eastAsia="Garamond" w:hAnsi="HendersonSansW00-BasicLight" w:cs="Garamond"/>
        </w:rPr>
        <w:t>s</w:t>
      </w:r>
      <w:r w:rsidRPr="00C85C82">
        <w:rPr>
          <w:rFonts w:ascii="HendersonSansW00-BasicLight" w:eastAsia="Garamond" w:hAnsi="HendersonSansW00-BasicLight" w:cs="Garamond"/>
        </w:rPr>
        <w:t xml:space="preserve">te procedimiento está dividido en dos etapas, el objeto de esta primera etapa es la </w:t>
      </w:r>
      <w:r w:rsidRPr="00C85C82">
        <w:rPr>
          <w:rFonts w:ascii="HendersonSansW00-BasicLight" w:eastAsia="Garamond" w:hAnsi="HendersonSansW00-BasicLight" w:cs="Garamond"/>
          <w:b/>
        </w:rPr>
        <w:t>Preselección o Elegibilidad de los Oferentes</w:t>
      </w:r>
      <w:r w:rsidRPr="00C85C82">
        <w:rPr>
          <w:rFonts w:ascii="HendersonSansW00-BasicLight" w:eastAsia="Garamond" w:hAnsi="HendersonSansW00-BasicLight" w:cs="Garamond"/>
        </w:rPr>
        <w:t xml:space="preserve"> los cuales serán considerados para la siguiente fase de la contratación.</w:t>
      </w:r>
    </w:p>
    <w:p w14:paraId="1FE33E1D"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6BD29036" w14:textId="2757D5BD" w:rsidR="00BD55DE" w:rsidRPr="00C85C82" w:rsidRDefault="00A33DDC" w:rsidP="00533DC0">
      <w:pPr>
        <w:tabs>
          <w:tab w:val="left" w:pos="-72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En el presente documento se definen los aspectos básicos del concurso en su etapa inicial y las instrucciones para el llenado de los formularios y formatos provistos en los anexos. La entrega de los formularios es obligatoria para homogenizar la presentación de la información solicitada por </w:t>
      </w:r>
      <w:r w:rsidR="003A0589">
        <w:rPr>
          <w:rFonts w:ascii="HendersonSansW00-BasicLight" w:eastAsia="Garamond" w:hAnsi="HendersonSansW00-BasicLight" w:cs="Garamond"/>
        </w:rPr>
        <w:t xml:space="preserve">la </w:t>
      </w:r>
      <w:r w:rsidR="004E1C08" w:rsidRPr="005B4D8A">
        <w:rPr>
          <w:rFonts w:ascii="HendersonSansW00-BasicLight" w:eastAsia="Garamond" w:hAnsi="HendersonSansW00-BasicLight" w:cs="Garamond"/>
          <w:b/>
          <w:bCs/>
        </w:rPr>
        <w:t>ADMINISTRACIÓN.</w:t>
      </w:r>
    </w:p>
    <w:p w14:paraId="07F351DF" w14:textId="77777777" w:rsidR="00BD55DE" w:rsidRPr="00C85C82" w:rsidRDefault="00BD55DE" w:rsidP="00533DC0">
      <w:pPr>
        <w:tabs>
          <w:tab w:val="left" w:pos="-720"/>
        </w:tabs>
        <w:spacing w:after="0" w:line="240" w:lineRule="auto"/>
        <w:jc w:val="both"/>
        <w:rPr>
          <w:rFonts w:ascii="HendersonSansW00-BasicLight" w:eastAsia="Garamond" w:hAnsi="HendersonSansW00-BasicLight" w:cs="Garamond"/>
        </w:rPr>
      </w:pPr>
    </w:p>
    <w:p w14:paraId="1C987B01" w14:textId="13F6FEFB" w:rsidR="00BD55DE" w:rsidRPr="00C85C82" w:rsidRDefault="00A33DDC" w:rsidP="00533DC0">
      <w:pPr>
        <w:tabs>
          <w:tab w:val="left" w:pos="-72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requisitos y las condiciones indicadas en este </w:t>
      </w:r>
      <w:r w:rsidR="00294AFE" w:rsidRPr="00C85C82">
        <w:rPr>
          <w:rFonts w:ascii="HendersonSansW00-BasicLight" w:eastAsia="Garamond" w:hAnsi="HendersonSansW00-BasicLight" w:cs="Garamond"/>
        </w:rPr>
        <w:t>documento</w:t>
      </w:r>
      <w:r w:rsidRPr="00C85C82">
        <w:rPr>
          <w:rFonts w:ascii="HendersonSansW00-BasicLight" w:eastAsia="Garamond" w:hAnsi="HendersonSansW00-BasicLight" w:cs="Garamond"/>
        </w:rPr>
        <w:t xml:space="preserve"> conservan su validez y aplicabilidad para la segunda etapa del concurso.</w:t>
      </w:r>
    </w:p>
    <w:p w14:paraId="20B3A889" w14:textId="77777777" w:rsidR="00BD55DE" w:rsidRPr="00C85C82" w:rsidRDefault="00BD55DE" w:rsidP="00533DC0">
      <w:pPr>
        <w:tabs>
          <w:tab w:val="left" w:pos="-720"/>
        </w:tabs>
        <w:spacing w:after="0" w:line="240" w:lineRule="auto"/>
        <w:jc w:val="both"/>
        <w:rPr>
          <w:rFonts w:ascii="HendersonSansW00-BasicLight" w:eastAsia="Garamond" w:hAnsi="HendersonSansW00-BasicLight" w:cs="Garamond"/>
        </w:rPr>
      </w:pPr>
    </w:p>
    <w:p w14:paraId="27555B13" w14:textId="77777777" w:rsidR="00BD55DE" w:rsidRPr="00C85C82" w:rsidRDefault="00A33DDC" w:rsidP="00533DC0">
      <w:pPr>
        <w:spacing w:after="0" w:line="240" w:lineRule="auto"/>
        <w:jc w:val="both"/>
        <w:rPr>
          <w:rFonts w:ascii="HendersonSansW00-BasicLight" w:eastAsia="Garamond" w:hAnsi="HendersonSansW00-BasicLight" w:cs="Garamond"/>
        </w:rPr>
      </w:pPr>
      <w:r w:rsidRPr="004E1C08">
        <w:rPr>
          <w:rFonts w:ascii="HendersonSansW00-BasicLight" w:eastAsia="Garamond" w:hAnsi="HendersonSansW00-BasicLight" w:cs="Garamond"/>
        </w:rPr>
        <w:t>Este Concurso Público está enmarcado en los lineamientos establecidos en el Anexo B del “CONTRATO DE PRÉSTAMO” suscrito entre el Gobierno de Costa Rica y el Banco Interamericano de Desarrollo (BID) No. 569/OC-CR, aprobado por la Ley del Fondo de Preinversión (No. 7376 del 23 de febrero de 1994) y su Reglamento (Decreto Ejecutivo No. 24658-PLAN del 21 de setiembre de 1995).</w:t>
      </w:r>
    </w:p>
    <w:p w14:paraId="1093B070"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0CE46593" w14:textId="17E727D6" w:rsidR="00BD55DE"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Este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contiene las bases para la evaluación de los </w:t>
      </w:r>
      <w:r w:rsidR="00B0443B" w:rsidRPr="00C85C82">
        <w:rPr>
          <w:rFonts w:ascii="HendersonSansW00-BasicLight" w:eastAsia="Garamond" w:hAnsi="HendersonSansW00-BasicLight" w:cs="Garamond"/>
        </w:rPr>
        <w:t>oferentes interesados</w:t>
      </w:r>
      <w:r w:rsidRPr="00C85C82">
        <w:rPr>
          <w:rFonts w:ascii="HendersonSansW00-BasicLight" w:eastAsia="Garamond" w:hAnsi="HendersonSansW00-BasicLight" w:cs="Garamond"/>
        </w:rPr>
        <w:t xml:space="preserve"> en participar en el Concurso y proporciona una metodología normalizada </w:t>
      </w:r>
      <w:r w:rsidRPr="00C85C82">
        <w:rPr>
          <w:rFonts w:ascii="HendersonSansW00-BasicLight" w:eastAsia="Garamond" w:hAnsi="HendersonSansW00-BasicLight" w:cs="Garamond"/>
          <w:b/>
        </w:rPr>
        <w:t>(Anexo No.3)</w:t>
      </w:r>
      <w:r w:rsidRPr="00C85C82">
        <w:rPr>
          <w:rFonts w:ascii="HendersonSansW00-BasicLight" w:eastAsia="Garamond" w:hAnsi="HendersonSansW00-BasicLight" w:cs="Garamond"/>
        </w:rPr>
        <w:t xml:space="preserve"> para que la Comisión Calificadora realice el análisis de la información que cada participante aporte, de tal manera que favorezca la ejecución de una evaluación uniforme y transparente para la escogencia de las firmas consultoras que serán invitadas a presentar Propuestas Formales en la segunda etapa. En todo el proceso del Concurso y durante la ejecución del objeto contractual, el Fondo de Preinversión del Ministerio de Planificación Nacional y Política Económica (M</w:t>
      </w:r>
      <w:r w:rsidR="00B0443B" w:rsidRPr="00C85C82">
        <w:rPr>
          <w:rFonts w:ascii="HendersonSansW00-BasicLight" w:eastAsia="Garamond" w:hAnsi="HendersonSansW00-BasicLight" w:cs="Garamond"/>
        </w:rPr>
        <w:t>IDEPLAN</w:t>
      </w:r>
      <w:r w:rsidRPr="00C85C82">
        <w:rPr>
          <w:rFonts w:ascii="HendersonSansW00-BasicLight" w:eastAsia="Garamond" w:hAnsi="HendersonSansW00-BasicLight" w:cs="Garamond"/>
        </w:rPr>
        <w:t>) ejercerá su función de supervisión, conforme lo estipula la legislación vigente que rige esta materia.</w:t>
      </w:r>
    </w:p>
    <w:p w14:paraId="19F00580" w14:textId="77777777" w:rsidR="003A0589" w:rsidRPr="00C85C82" w:rsidRDefault="003A0589" w:rsidP="00533DC0">
      <w:pPr>
        <w:spacing w:after="0" w:line="240" w:lineRule="auto"/>
        <w:jc w:val="both"/>
        <w:rPr>
          <w:rFonts w:ascii="HendersonSansW00-BasicLight" w:eastAsia="Garamond" w:hAnsi="HendersonSansW00-BasicLight" w:cs="Garamond"/>
        </w:rPr>
      </w:pPr>
    </w:p>
    <w:p w14:paraId="362A1579" w14:textId="05FEDAF9"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Los consultores serán contratados mediante un Con</w:t>
      </w:r>
      <w:r w:rsidR="00B0443B" w:rsidRPr="00C85C82">
        <w:rPr>
          <w:rFonts w:ascii="HendersonSansW00-BasicLight" w:eastAsia="Garamond" w:hAnsi="HendersonSansW00-BasicLight" w:cs="Garamond"/>
        </w:rPr>
        <w:t xml:space="preserve">curso Público, elaborado por </w:t>
      </w:r>
      <w:r w:rsidR="004E1C08">
        <w:rPr>
          <w:rFonts w:ascii="HendersonSansW00-BasicLight" w:eastAsia="Garamond" w:hAnsi="HendersonSansW00-BasicLight" w:cs="Garamond"/>
        </w:rPr>
        <w:t>la ADMINISTRACIÓN</w:t>
      </w:r>
      <w:r w:rsidR="00B0443B" w:rsidRPr="00C85C82">
        <w:rPr>
          <w:rFonts w:ascii="HendersonSansW00-BasicLight" w:eastAsia="Garamond" w:hAnsi="HendersonSansW00-BasicLight" w:cs="Garamond"/>
        </w:rPr>
        <w:t xml:space="preserve"> </w:t>
      </w:r>
      <w:r w:rsidRPr="00C85C82">
        <w:rPr>
          <w:rFonts w:ascii="HendersonSansW00-BasicLight" w:eastAsia="Garamond" w:hAnsi="HendersonSansW00-BasicLight" w:cs="Garamond"/>
        </w:rPr>
        <w:t>y con la aprobación del F</w:t>
      </w:r>
      <w:r w:rsidR="00B0443B" w:rsidRPr="00C85C82">
        <w:rPr>
          <w:rFonts w:ascii="HendersonSansW00-BasicLight" w:eastAsia="Garamond" w:hAnsi="HendersonSansW00-BasicLight" w:cs="Garamond"/>
        </w:rPr>
        <w:t>ondo de Preinversión de MIDEPLAN</w:t>
      </w:r>
      <w:r w:rsidRPr="00C85C82">
        <w:rPr>
          <w:rFonts w:ascii="HendersonSansW00-BasicLight" w:eastAsia="Garamond" w:hAnsi="HendersonSansW00-BasicLight" w:cs="Garamond"/>
        </w:rPr>
        <w:t>; en acatamiento a lo dispuesto por la Ley No. 7376 de 23 de febrero de 1994, el Reglamento Decreto Ejecutivo No. 24658-PLAN de 21 de setiembre de 1995 y supletoriamente, la Ley General de Contratación Pública y su Reglamento.</w:t>
      </w:r>
    </w:p>
    <w:p w14:paraId="36B21505" w14:textId="77777777" w:rsidR="00E26A94" w:rsidRPr="00C85C82" w:rsidRDefault="00E26A94" w:rsidP="00533DC0">
      <w:pPr>
        <w:keepNext/>
        <w:keepLines/>
        <w:spacing w:after="0" w:line="240" w:lineRule="auto"/>
        <w:jc w:val="center"/>
        <w:rPr>
          <w:rFonts w:ascii="HendersonSansW00-BasicLight" w:eastAsia="Garamond" w:hAnsi="HendersonSansW00-BasicLight" w:cs="Garamond"/>
          <w:b/>
        </w:rPr>
      </w:pPr>
      <w:bookmarkStart w:id="3" w:name="_heading=h.2et92p0" w:colFirst="0" w:colLast="0"/>
      <w:bookmarkEnd w:id="3"/>
    </w:p>
    <w:p w14:paraId="15A13CA2" w14:textId="4023C10E" w:rsidR="00BD55DE" w:rsidRPr="00C85C82" w:rsidRDefault="00A33DDC" w:rsidP="00533DC0">
      <w:pPr>
        <w:keepNext/>
        <w:keepLines/>
        <w:spacing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t>CONDICIONES GENERALES</w:t>
      </w:r>
    </w:p>
    <w:p w14:paraId="659FCB58" w14:textId="77777777" w:rsidR="00BD55DE" w:rsidRPr="00C85C82" w:rsidRDefault="00BD55DE" w:rsidP="00533DC0">
      <w:pPr>
        <w:spacing w:after="0" w:line="240" w:lineRule="auto"/>
        <w:rPr>
          <w:rFonts w:ascii="HendersonSansW00-BasicLight" w:hAnsi="HendersonSansW00-BasicLight"/>
        </w:rPr>
      </w:pPr>
    </w:p>
    <w:p w14:paraId="3E48ED86" w14:textId="77777777" w:rsidR="00BD55DE" w:rsidRPr="00C85C82" w:rsidRDefault="00A33DDC" w:rsidP="00533DC0">
      <w:pPr>
        <w:keepNext/>
        <w:numPr>
          <w:ilvl w:val="0"/>
          <w:numId w:val="8"/>
        </w:numPr>
        <w:tabs>
          <w:tab w:val="left" w:pos="-720"/>
        </w:tabs>
        <w:spacing w:after="0" w:line="240" w:lineRule="auto"/>
        <w:ind w:left="709"/>
        <w:rPr>
          <w:rFonts w:ascii="HendersonSansW00-BasicLight" w:eastAsia="Garamond" w:hAnsi="HendersonSansW00-BasicLight" w:cs="Garamond"/>
          <w:b/>
          <w:color w:val="000000"/>
        </w:rPr>
      </w:pPr>
      <w:bookmarkStart w:id="4" w:name="_heading=h.tyjcwt" w:colFirst="0" w:colLast="0"/>
      <w:bookmarkEnd w:id="4"/>
      <w:r w:rsidRPr="00C85C82">
        <w:rPr>
          <w:rFonts w:ascii="HendersonSansW00-BasicLight" w:eastAsia="Garamond" w:hAnsi="HendersonSansW00-BasicLight" w:cs="Garamond"/>
          <w:b/>
          <w:color w:val="000000"/>
        </w:rPr>
        <w:t>PLAZO PARA LA PRESENTACIÓN DE LAS OFERTAS:</w:t>
      </w:r>
    </w:p>
    <w:p w14:paraId="0ECCFF81" w14:textId="77777777" w:rsidR="00BD55DE" w:rsidRPr="00C85C82" w:rsidRDefault="00BD55DE" w:rsidP="00533DC0">
      <w:pPr>
        <w:spacing w:after="0" w:line="240" w:lineRule="auto"/>
        <w:rPr>
          <w:rFonts w:ascii="HendersonSansW00-BasicLight" w:hAnsi="HendersonSansW00-BasicLight"/>
        </w:rPr>
      </w:pPr>
    </w:p>
    <w:p w14:paraId="261B1A6A" w14:textId="27972967" w:rsidR="005C40FF" w:rsidRPr="000872D7" w:rsidRDefault="005C40FF" w:rsidP="00533DC0">
      <w:pPr>
        <w:spacing w:after="0" w:line="240" w:lineRule="auto"/>
        <w:jc w:val="both"/>
        <w:rPr>
          <w:rFonts w:ascii="HendersonSansW00-BasicLight" w:eastAsia="Garamond" w:hAnsi="HendersonSansW00-BasicLight" w:cs="Garamond"/>
        </w:rPr>
      </w:pPr>
      <w:r w:rsidRPr="005C40FF">
        <w:rPr>
          <w:rFonts w:ascii="HendersonSansW00-BasicLight" w:eastAsia="Garamond" w:hAnsi="HendersonSansW00-BasicLight" w:cs="Garamond"/>
          <w:highlight w:val="cyan"/>
        </w:rPr>
        <w:t>El plazo para la presentación de l</w:t>
      </w:r>
      <w:r w:rsidR="00AD5DE1">
        <w:rPr>
          <w:rFonts w:ascii="HendersonSansW00-BasicLight" w:eastAsia="Garamond" w:hAnsi="HendersonSansW00-BasicLight" w:cs="Garamond"/>
          <w:highlight w:val="cyan"/>
        </w:rPr>
        <w:t>as ofertas vence a las diez horas (10:00) del día 27</w:t>
      </w:r>
      <w:r w:rsidR="006F46BC">
        <w:rPr>
          <w:rFonts w:ascii="HendersonSansW00-BasicLight" w:eastAsia="Garamond" w:hAnsi="HendersonSansW00-BasicLight" w:cs="Garamond"/>
          <w:highlight w:val="cyan"/>
        </w:rPr>
        <w:t xml:space="preserve"> de </w:t>
      </w:r>
      <w:r w:rsidR="00AD5DE1">
        <w:rPr>
          <w:rFonts w:ascii="HendersonSansW00-BasicLight" w:eastAsia="Garamond" w:hAnsi="HendersonSansW00-BasicLight" w:cs="Garamond"/>
          <w:highlight w:val="cyan"/>
        </w:rPr>
        <w:t xml:space="preserve">noviembre </w:t>
      </w:r>
      <w:r w:rsidR="006F46BC">
        <w:rPr>
          <w:rFonts w:ascii="HendersonSansW00-BasicLight" w:eastAsia="Garamond" w:hAnsi="HendersonSansW00-BasicLight" w:cs="Garamond"/>
          <w:highlight w:val="cyan"/>
        </w:rPr>
        <w:t>del 2026</w:t>
      </w:r>
      <w:r w:rsidRPr="005C40FF">
        <w:rPr>
          <w:rFonts w:ascii="HendersonSansW00-BasicLight" w:eastAsia="Garamond" w:hAnsi="HendersonSansW00-BasicLight" w:cs="Garamond"/>
          <w:highlight w:val="cyan"/>
        </w:rPr>
        <w:t xml:space="preserve">. </w:t>
      </w:r>
      <w:r w:rsidRPr="005C40FF">
        <w:rPr>
          <w:rFonts w:ascii="HendersonSansW00-BasicLight" w:eastAsia="Garamond" w:hAnsi="HendersonSansW00-BasicLight" w:cs="Garamond"/>
        </w:rPr>
        <w:t>Las ofertas se recibirán de manera digital, en formato PDF y debidamente firmadas por el represen</w:t>
      </w:r>
      <w:r w:rsidR="00252CA1">
        <w:rPr>
          <w:rFonts w:ascii="HendersonSansW00-BasicLight" w:eastAsia="Garamond" w:hAnsi="HendersonSansW00-BasicLight" w:cs="Garamond"/>
        </w:rPr>
        <w:t xml:space="preserve">tante legal de los OFERENTES, a los </w:t>
      </w:r>
      <w:r w:rsidRPr="005C40FF">
        <w:rPr>
          <w:rFonts w:ascii="HendersonSansW00-BasicLight" w:eastAsia="Garamond" w:hAnsi="HendersonSansW00-BasicLight" w:cs="Garamond"/>
        </w:rPr>
        <w:t xml:space="preserve"> </w:t>
      </w:r>
      <w:r w:rsidRPr="007020B6">
        <w:rPr>
          <w:rFonts w:ascii="HendersonSansW00-BasicLight" w:eastAsia="Garamond" w:hAnsi="HendersonSansW00-BasicLight" w:cs="Garamond"/>
        </w:rPr>
        <w:t>correo</w:t>
      </w:r>
      <w:r w:rsidR="00252CA1">
        <w:rPr>
          <w:rFonts w:ascii="HendersonSansW00-BasicLight" w:eastAsia="Garamond" w:hAnsi="HendersonSansW00-BasicLight" w:cs="Garamond"/>
        </w:rPr>
        <w:t>s</w:t>
      </w:r>
      <w:r w:rsidR="00715EDD" w:rsidRPr="00715EDD">
        <w:rPr>
          <w:color w:val="0000FF"/>
        </w:rPr>
        <w:t xml:space="preserve"> </w:t>
      </w:r>
      <w:r w:rsidR="00715EDD" w:rsidRPr="008E200F">
        <w:rPr>
          <w:color w:val="0000FF"/>
          <w:u w:val="single"/>
        </w:rPr>
        <w:t>asadas@mba.go.cr</w:t>
      </w:r>
      <w:r w:rsidR="00715EDD">
        <w:rPr>
          <w:color w:val="0000FF"/>
        </w:rPr>
        <w:t>,</w:t>
      </w:r>
      <w:r w:rsidRPr="007020B6">
        <w:rPr>
          <w:rFonts w:ascii="HendersonSansW00-BasicLight" w:eastAsia="Garamond" w:hAnsi="HendersonSansW00-BasicLight" w:cs="Garamond"/>
        </w:rPr>
        <w:t xml:space="preserve"> </w:t>
      </w:r>
      <w:hyperlink r:id="rId9" w:history="1">
        <w:r w:rsidR="003200A1" w:rsidRPr="002F7AE5">
          <w:rPr>
            <w:rStyle w:val="Hipervnculo"/>
            <w:rFonts w:ascii="HendersonSansW00-BasicLight" w:eastAsia="Garamond" w:hAnsi="HendersonSansW00-BasicLight" w:cs="Garamond"/>
          </w:rPr>
          <w:t>gnunez@mba.go.cr</w:t>
        </w:r>
      </w:hyperlink>
      <w:r w:rsidR="00252CA1">
        <w:rPr>
          <w:rStyle w:val="Hipervnculo"/>
          <w:rFonts w:ascii="HendersonSansW00-BasicLight" w:eastAsia="Garamond" w:hAnsi="HendersonSansW00-BasicLight" w:cs="Garamond"/>
        </w:rPr>
        <w:t>, jmorales@mba.go.cr</w:t>
      </w:r>
      <w:r w:rsidR="007F0F24">
        <w:rPr>
          <w:rFonts w:ascii="HendersonSansW00-BasicLight" w:eastAsia="Garamond" w:hAnsi="HendersonSansW00-BasicLight" w:cs="Garamond"/>
        </w:rPr>
        <w:t xml:space="preserve">. Se solicita llamar al </w:t>
      </w:r>
      <w:r w:rsidR="00682FA8">
        <w:rPr>
          <w:rFonts w:ascii="HendersonSansW00-BasicLight" w:eastAsia="Garamond" w:hAnsi="HendersonSansW00-BasicLight" w:cs="Garamond"/>
        </w:rPr>
        <w:t>teléfono 2730-2422 extensión 156</w:t>
      </w:r>
      <w:r w:rsidR="00252CA1">
        <w:rPr>
          <w:rFonts w:ascii="HendersonSansW00-BasicLight" w:eastAsia="Garamond" w:hAnsi="HendersonSansW00-BasicLight" w:cs="Garamond"/>
        </w:rPr>
        <w:t xml:space="preserve"> y 170</w:t>
      </w:r>
      <w:r w:rsidR="007F0F24">
        <w:rPr>
          <w:rFonts w:ascii="HendersonSansW00-BasicLight" w:eastAsia="Garamond" w:hAnsi="HendersonSansW00-BasicLight" w:cs="Garamond"/>
        </w:rPr>
        <w:t>, para confirmar el envío y recibido de las ofertas digit</w:t>
      </w:r>
      <w:bookmarkStart w:id="5" w:name="_GoBack"/>
      <w:bookmarkEnd w:id="5"/>
      <w:r w:rsidR="007F0F24">
        <w:rPr>
          <w:rFonts w:ascii="HendersonSansW00-BasicLight" w:eastAsia="Garamond" w:hAnsi="HendersonSansW00-BasicLight" w:cs="Garamond"/>
        </w:rPr>
        <w:t xml:space="preserve">ales. </w:t>
      </w:r>
    </w:p>
    <w:p w14:paraId="712962FF"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5BC7C380" w14:textId="77777777" w:rsidR="00BD55DE" w:rsidRPr="00C85C82" w:rsidRDefault="00A33DDC" w:rsidP="00533DC0">
      <w:pPr>
        <w:keepNext/>
        <w:numPr>
          <w:ilvl w:val="0"/>
          <w:numId w:val="8"/>
        </w:numPr>
        <w:tabs>
          <w:tab w:val="left" w:pos="-720"/>
        </w:tabs>
        <w:spacing w:after="0" w:line="240" w:lineRule="auto"/>
        <w:ind w:left="709"/>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CARACTERÍSTICAS DEL CONCURSO PÚBLICO</w:t>
      </w:r>
    </w:p>
    <w:p w14:paraId="19A3F0E0" w14:textId="77777777" w:rsidR="00BD55DE" w:rsidRPr="00C85C82" w:rsidRDefault="00BD55DE" w:rsidP="00533DC0">
      <w:pPr>
        <w:keepNext/>
        <w:tabs>
          <w:tab w:val="left" w:pos="-720"/>
        </w:tabs>
        <w:spacing w:after="0" w:line="240" w:lineRule="auto"/>
        <w:rPr>
          <w:rFonts w:ascii="HendersonSansW00-BasicLight" w:eastAsia="Garamond" w:hAnsi="HendersonSansW00-BasicLight" w:cs="Garamond"/>
          <w:b/>
        </w:rPr>
      </w:pPr>
    </w:p>
    <w:p w14:paraId="415C8004" w14:textId="2D410CCE" w:rsidR="00BD55DE" w:rsidRPr="00C85C82" w:rsidRDefault="00A33DDC" w:rsidP="00533DC0">
      <w:pPr>
        <w:pBdr>
          <w:top w:val="nil"/>
          <w:left w:val="nil"/>
          <w:bottom w:val="nil"/>
          <w:right w:val="nil"/>
          <w:between w:val="nil"/>
        </w:pBdr>
        <w:spacing w:after="0" w:line="240" w:lineRule="auto"/>
        <w:jc w:val="both"/>
        <w:rPr>
          <w:rFonts w:ascii="HendersonSansW00-BasicLight" w:eastAsia="Garamond" w:hAnsi="HendersonSansW00-BasicLight" w:cs="Garamond"/>
          <w:b/>
        </w:rPr>
      </w:pPr>
      <w:r w:rsidRPr="00C85C82">
        <w:rPr>
          <w:rFonts w:ascii="HendersonSansW00-BasicLight" w:eastAsia="Garamond" w:hAnsi="HendersonSansW00-BasicLight" w:cs="Garamond"/>
          <w:b/>
        </w:rPr>
        <w:t xml:space="preserve">OFERENTES: </w:t>
      </w:r>
      <w:r w:rsidR="00F06F86">
        <w:rPr>
          <w:rFonts w:ascii="HendersonSansW00-BasicLight" w:eastAsia="Garamond" w:hAnsi="HendersonSansW00-BasicLight" w:cs="Garamond"/>
        </w:rPr>
        <w:t xml:space="preserve">Para contratar el estudio los </w:t>
      </w:r>
      <w:r w:rsidR="00F06F86" w:rsidRPr="00F06F86">
        <w:rPr>
          <w:rFonts w:ascii="HendersonSansW00-BasicLight" w:eastAsia="Garamond" w:hAnsi="HendersonSansW00-BasicLight" w:cs="Garamond"/>
          <w:b/>
          <w:bCs/>
        </w:rPr>
        <w:t>OFERENTES</w:t>
      </w:r>
      <w:r w:rsidR="00F06F86">
        <w:rPr>
          <w:rFonts w:ascii="HendersonSansW00-BasicLight" w:eastAsia="Garamond" w:hAnsi="HendersonSansW00-BasicLight" w:cs="Garamond"/>
        </w:rPr>
        <w:t xml:space="preserve"> deberán estar inscritos en el Registro de Consultores</w:t>
      </w:r>
      <w:r w:rsidRPr="00C85C82">
        <w:rPr>
          <w:rFonts w:ascii="HendersonSansW00-BasicLight" w:eastAsia="Garamond" w:hAnsi="HendersonSansW00-BasicLight" w:cs="Garamond"/>
        </w:rPr>
        <w:t xml:space="preserve"> del </w:t>
      </w:r>
      <w:r w:rsidRPr="00F06F86">
        <w:rPr>
          <w:rFonts w:ascii="HendersonSansW00-BasicLight" w:eastAsia="Garamond" w:hAnsi="HendersonSansW00-BasicLight" w:cs="Garamond"/>
          <w:b/>
          <w:bCs/>
        </w:rPr>
        <w:t>FONDO</w:t>
      </w:r>
      <w:r w:rsidRPr="00C85C82">
        <w:rPr>
          <w:rFonts w:ascii="HendersonSansW00-BasicLight" w:eastAsia="Garamond" w:hAnsi="HendersonSansW00-BasicLight" w:cs="Garamond"/>
        </w:rPr>
        <w:t xml:space="preserve">, según las disposiciones del </w:t>
      </w:r>
      <w:r w:rsidRPr="005B4D8A">
        <w:rPr>
          <w:rFonts w:ascii="HendersonSansW00-BasicLight" w:eastAsia="Garamond" w:hAnsi="HendersonSansW00-BasicLight" w:cs="Garamond"/>
          <w:b/>
          <w:bCs/>
        </w:rPr>
        <w:t>REGLAMENTO</w:t>
      </w:r>
      <w:r w:rsidRPr="00C85C82">
        <w:rPr>
          <w:rFonts w:ascii="HendersonSansW00-BasicLight" w:eastAsia="Garamond" w:hAnsi="HendersonSansW00-BasicLight" w:cs="Garamond"/>
        </w:rPr>
        <w:t xml:space="preserve"> y cumplan además </w:t>
      </w:r>
      <w:r w:rsidR="006B7E09" w:rsidRPr="00C85C82">
        <w:rPr>
          <w:rFonts w:ascii="HendersonSansW00-BasicLight" w:eastAsia="Garamond" w:hAnsi="HendersonSansW00-BasicLight" w:cs="Garamond"/>
        </w:rPr>
        <w:t>con</w:t>
      </w:r>
      <w:r w:rsidRPr="00C85C82">
        <w:rPr>
          <w:rFonts w:ascii="HendersonSansW00-BasicLight" w:eastAsia="Garamond" w:hAnsi="HendersonSansW00-BasicLight" w:cs="Garamond"/>
        </w:rPr>
        <w:t xml:space="preserve"> todos los requisitos y condiciones establecidos en los </w:t>
      </w:r>
      <w:r w:rsidRPr="005B4D8A">
        <w:rPr>
          <w:rFonts w:ascii="HendersonSansW00-BasicLight" w:eastAsia="Garamond" w:hAnsi="HendersonSansW00-BasicLight" w:cs="Garamond"/>
          <w:b/>
          <w:bCs/>
        </w:rPr>
        <w:t>PROCEDIMIENTOS DE CONTRATACIÓN DEL FONDO.</w:t>
      </w:r>
      <w:r w:rsidRPr="00C85C82">
        <w:rPr>
          <w:rFonts w:ascii="HendersonSansW00-BasicLight" w:eastAsia="Garamond" w:hAnsi="HendersonSansW00-BasicLight" w:cs="Garamond"/>
        </w:rPr>
        <w:t xml:space="preserve">  </w:t>
      </w:r>
    </w:p>
    <w:p w14:paraId="14A7ED9A" w14:textId="77777777" w:rsidR="00BD55DE" w:rsidRPr="00C85C82" w:rsidRDefault="00BD55DE" w:rsidP="00533DC0">
      <w:pPr>
        <w:spacing w:after="0" w:line="240" w:lineRule="auto"/>
        <w:rPr>
          <w:rFonts w:ascii="HendersonSansW00-BasicLight" w:hAnsi="HendersonSansW00-BasicLight"/>
        </w:rPr>
      </w:pPr>
    </w:p>
    <w:p w14:paraId="0952DFC0" w14:textId="77777777"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Concurso Público propuesto en el presente documento consta de dos fases, las cuales se detallan a continuación: </w:t>
      </w:r>
    </w:p>
    <w:p w14:paraId="4B5E8212"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03B0C4A9" w14:textId="4475A626"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u w:val="single"/>
        </w:rPr>
        <w:t>La Primera Etapa</w:t>
      </w:r>
      <w:r w:rsidRPr="00C85C82">
        <w:rPr>
          <w:rFonts w:ascii="HendersonSansW00-BasicLight" w:eastAsia="Garamond" w:hAnsi="HendersonSansW00-BasicLight" w:cs="Garamond"/>
        </w:rPr>
        <w:t xml:space="preserve"> inicia </w:t>
      </w:r>
      <w:r w:rsidRPr="003200A1">
        <w:rPr>
          <w:rFonts w:ascii="HendersonSansW00-BasicLight" w:eastAsia="Garamond" w:hAnsi="HendersonSansW00-BasicLight" w:cs="Garamond"/>
        </w:rPr>
        <w:t xml:space="preserve">con la publicación de un aviso en un diario </w:t>
      </w:r>
      <w:r w:rsidR="00923731" w:rsidRPr="003200A1">
        <w:rPr>
          <w:rFonts w:ascii="HendersonSansW00-BasicLight" w:eastAsia="Garamond" w:hAnsi="HendersonSansW00-BasicLight" w:cs="Garamond"/>
        </w:rPr>
        <w:t>Oficial La Gaceta,</w:t>
      </w:r>
      <w:r w:rsidR="000C50D4">
        <w:rPr>
          <w:rFonts w:ascii="HendersonSansW00-BasicLight" w:eastAsia="Garamond" w:hAnsi="HendersonSansW00-BasicLight" w:cs="Garamond"/>
        </w:rPr>
        <w:t xml:space="preserve"> y también,</w:t>
      </w:r>
      <w:r w:rsidR="00923731" w:rsidRPr="003200A1">
        <w:rPr>
          <w:rFonts w:ascii="HendersonSansW00-BasicLight" w:eastAsia="Garamond" w:hAnsi="HendersonSansW00-BasicLight" w:cs="Garamond"/>
        </w:rPr>
        <w:t xml:space="preserve"> </w:t>
      </w:r>
      <w:r w:rsidRPr="003200A1">
        <w:rPr>
          <w:rFonts w:ascii="HendersonSansW00-BasicLight" w:eastAsia="Garamond" w:hAnsi="HendersonSansW00-BasicLight" w:cs="Garamond"/>
        </w:rPr>
        <w:t xml:space="preserve">en la página </w:t>
      </w:r>
      <w:r w:rsidR="00923731" w:rsidRPr="003200A1">
        <w:rPr>
          <w:rFonts w:ascii="HendersonSansW00-BasicLight" w:eastAsia="Garamond" w:hAnsi="HendersonSansW00-BasicLight" w:cs="Garamond"/>
        </w:rPr>
        <w:t xml:space="preserve">Facebook </w:t>
      </w:r>
      <w:r w:rsidR="003D4007" w:rsidRPr="003200A1">
        <w:rPr>
          <w:rFonts w:ascii="HendersonSansW00-BasicLight" w:eastAsia="Garamond" w:hAnsi="HendersonSansW00-BasicLight" w:cs="Garamond"/>
        </w:rPr>
        <w:t>de la Municipalidad de Buenos Aires</w:t>
      </w:r>
      <w:r w:rsidR="000872D7" w:rsidRPr="003200A1">
        <w:rPr>
          <w:rFonts w:ascii="HendersonSansW00-BasicLight" w:eastAsia="Garamond" w:hAnsi="HendersonSansW00-BasicLight" w:cs="Garamond"/>
        </w:rPr>
        <w:t>.</w:t>
      </w:r>
      <w:r w:rsidR="000872D7">
        <w:rPr>
          <w:rFonts w:ascii="HendersonSansW00-BasicLight" w:eastAsia="Garamond" w:hAnsi="HendersonSansW00-BasicLight" w:cs="Garamond"/>
        </w:rPr>
        <w:t xml:space="preserve"> </w:t>
      </w:r>
      <w:r w:rsidRPr="00C85C82">
        <w:rPr>
          <w:rFonts w:ascii="HendersonSansW00-BasicLight" w:eastAsia="Garamond" w:hAnsi="HendersonSansW00-BasicLight" w:cs="Garamond"/>
          <w:color w:val="000000"/>
        </w:rPr>
        <w:t>Esta publicación en la prensa y medio digital</w:t>
      </w:r>
      <w:r w:rsidR="000C50D4">
        <w:rPr>
          <w:rFonts w:ascii="HendersonSansW00-BasicLight" w:eastAsia="Garamond" w:hAnsi="HendersonSansW00-BasicLight" w:cs="Garamond"/>
          <w:color w:val="000000"/>
        </w:rPr>
        <w:t>,</w:t>
      </w:r>
      <w:r w:rsidRPr="00C85C82">
        <w:rPr>
          <w:rFonts w:ascii="HendersonSansW00-BasicLight" w:eastAsia="Garamond" w:hAnsi="HendersonSansW00-BasicLight" w:cs="Garamond"/>
          <w:color w:val="000000"/>
        </w:rPr>
        <w:t xml:space="preserve"> invitará a los potenciales oferentes a participar en un concurso para la preselección de </w:t>
      </w:r>
      <w:r w:rsidRPr="00C85C82">
        <w:rPr>
          <w:rFonts w:ascii="HendersonSansW00-BasicLight" w:eastAsia="Garamond" w:hAnsi="HendersonSansW00-BasicLight" w:cs="Garamond"/>
        </w:rPr>
        <w:t xml:space="preserve">los oferentes </w:t>
      </w:r>
      <w:r w:rsidRPr="00C85C82">
        <w:rPr>
          <w:rFonts w:ascii="HendersonSansW00-BasicLight" w:eastAsia="Garamond" w:hAnsi="HendersonSansW00-BasicLight" w:cs="Garamond"/>
          <w:color w:val="000000"/>
        </w:rPr>
        <w:t xml:space="preserve">con capacidad para elaborar estudios como el que motiva este procedimiento. </w:t>
      </w:r>
    </w:p>
    <w:p w14:paraId="2F752BE3"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3D21688D" w14:textId="7F8D37AB" w:rsidR="00BD55DE" w:rsidRPr="00C85C82" w:rsidRDefault="00A33DDC" w:rsidP="00533DC0">
      <w:pPr>
        <w:spacing w:after="0" w:line="240" w:lineRule="auto"/>
        <w:jc w:val="both"/>
        <w:rPr>
          <w:rFonts w:ascii="HendersonSansW00-BasicLight" w:eastAsia="Garamond" w:hAnsi="HendersonSansW00-BasicLight" w:cs="Garamond"/>
        </w:rPr>
      </w:pPr>
      <w:r w:rsidRPr="000C7963">
        <w:rPr>
          <w:rFonts w:ascii="HendersonSansW00-BasicLight" w:eastAsia="Garamond" w:hAnsi="HendersonSansW00-BasicLight" w:cs="Garamond"/>
        </w:rPr>
        <w:t xml:space="preserve">En dicho aviso se invita a participar a las firmas consultoras para la presentación de </w:t>
      </w:r>
      <w:r w:rsidRPr="000C7963">
        <w:rPr>
          <w:rFonts w:ascii="HendersonSansW00-BasicLight" w:eastAsia="Garamond" w:hAnsi="HendersonSansW00-BasicLight" w:cs="Garamond"/>
          <w:b/>
        </w:rPr>
        <w:t>ANTECEDENTES PRELIMINARES</w:t>
      </w:r>
      <w:r w:rsidRPr="000C7963">
        <w:rPr>
          <w:rFonts w:ascii="HendersonSansW00-BasicLight" w:eastAsia="Garamond" w:hAnsi="HendersonSansW00-BasicLight" w:cs="Garamond"/>
        </w:rPr>
        <w:t>, con el objeto de preseleccionar a no menos de dos (2) ni más de seis (6) firmas como elegibles.</w:t>
      </w:r>
      <w:r w:rsidRPr="00C85C82">
        <w:rPr>
          <w:rFonts w:ascii="HendersonSansW00-BasicLight" w:eastAsia="Garamond" w:hAnsi="HendersonSansW00-BasicLight" w:cs="Garamond"/>
        </w:rPr>
        <w:t xml:space="preserve"> </w:t>
      </w:r>
      <w:r w:rsidR="007427D4" w:rsidRPr="007427D4">
        <w:rPr>
          <w:rFonts w:ascii="HendersonSansW00-BasicLight" w:eastAsia="Garamond" w:hAnsi="HendersonSansW00-BasicLight" w:cs="Garamond"/>
        </w:rPr>
        <w:t xml:space="preserve">En esta primera fase, los </w:t>
      </w:r>
      <w:r w:rsidR="007427D4" w:rsidRPr="007427D4">
        <w:rPr>
          <w:rFonts w:ascii="HendersonSansW00-BasicLight" w:eastAsia="Garamond" w:hAnsi="HendersonSansW00-BasicLight" w:cs="Garamond"/>
          <w:b/>
          <w:bCs/>
        </w:rPr>
        <w:t>OFERENTES</w:t>
      </w:r>
      <w:r w:rsidR="007427D4" w:rsidRPr="007427D4">
        <w:rPr>
          <w:rFonts w:ascii="HendersonSansW00-BasicLight" w:eastAsia="Garamond" w:hAnsi="HendersonSansW00-BasicLight" w:cs="Garamond"/>
        </w:rPr>
        <w:t xml:space="preserve"> deberán presentar la oferta técnica digital de primera fase, según los requerimientos de este cartel</w:t>
      </w:r>
      <w:r w:rsidR="000872D7">
        <w:rPr>
          <w:rFonts w:ascii="HendersonSansW00-BasicLight" w:eastAsia="Garamond" w:hAnsi="HendersonSansW00-BasicLight" w:cs="Garamond"/>
        </w:rPr>
        <w:t>.</w:t>
      </w:r>
    </w:p>
    <w:p w14:paraId="45B4AED5"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3FA3F167" w14:textId="28DBD5B6"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u w:val="single"/>
        </w:rPr>
        <w:t>La Segunda Etapa</w:t>
      </w:r>
      <w:r w:rsidRPr="00C85C82">
        <w:rPr>
          <w:rFonts w:ascii="HendersonSansW00-BasicLight" w:eastAsia="Garamond" w:hAnsi="HendersonSansW00-BasicLight" w:cs="Garamond"/>
        </w:rPr>
        <w:t xml:space="preserve"> inicia con el requerimiento de ofertas técnicas y económicas</w:t>
      </w:r>
      <w:r w:rsidR="007427D4">
        <w:rPr>
          <w:rFonts w:ascii="HendersonSansW00-BasicLight" w:eastAsia="Garamond" w:hAnsi="HendersonSansW00-BasicLight" w:cs="Garamond"/>
        </w:rPr>
        <w:t xml:space="preserve"> digitales</w:t>
      </w:r>
      <w:r w:rsidRPr="00C85C82">
        <w:rPr>
          <w:rFonts w:ascii="HendersonSansW00-BasicLight" w:eastAsia="Garamond" w:hAnsi="HendersonSansW00-BasicLight" w:cs="Garamond"/>
        </w:rPr>
        <w:t xml:space="preserve"> a las firmas preseleccionadas, mediante el correspondiente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de concurso de segunda etapa.</w:t>
      </w:r>
    </w:p>
    <w:p w14:paraId="0F70D5F6"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2FBFD922" w14:textId="4B219FBF" w:rsidR="00BD55DE" w:rsidRDefault="007427D4" w:rsidP="00533DC0">
      <w:pPr>
        <w:spacing w:after="0" w:line="240" w:lineRule="auto"/>
        <w:jc w:val="both"/>
        <w:rPr>
          <w:rFonts w:ascii="HendersonSansW00-BasicLight" w:eastAsia="Garamond" w:hAnsi="HendersonSansW00-BasicLight" w:cs="Garamond"/>
        </w:rPr>
      </w:pPr>
      <w:r w:rsidRPr="007427D4">
        <w:rPr>
          <w:rFonts w:ascii="HendersonSansW00-BasicLight" w:eastAsia="Garamond" w:hAnsi="HendersonSansW00-BasicLight" w:cs="Garamond"/>
        </w:rPr>
        <w:t xml:space="preserve">En esta segunda fase, para obtener un orden de mérito, el oferente deberá presentar dos ofertas digitales separadas en formato PDF, la primera de los cuales contendrá la Oferta Técnica digital, sin indicación de costos, y en el segundo se aportará la Oferta Económica digital con el costo propuesto. Cada archivo deberá estar debidamente identificado con el nombre del </w:t>
      </w:r>
      <w:r w:rsidRPr="007427D4">
        <w:rPr>
          <w:rFonts w:ascii="HendersonSansW00-BasicLight" w:eastAsia="Garamond" w:hAnsi="HendersonSansW00-BasicLight" w:cs="Garamond"/>
          <w:b/>
          <w:bCs/>
        </w:rPr>
        <w:t>OFERENTE</w:t>
      </w:r>
      <w:r w:rsidRPr="007427D4">
        <w:rPr>
          <w:rFonts w:ascii="HendersonSansW00-BasicLight" w:eastAsia="Garamond" w:hAnsi="HendersonSansW00-BasicLight" w:cs="Garamond"/>
        </w:rPr>
        <w:t xml:space="preserve">, el número del concurso y el tipo de oferta al que corresponde, sea oferta técnica o económica. La oferta económica digital deberá estar encriptada, la contraseña será aportada por parte del </w:t>
      </w:r>
      <w:r w:rsidRPr="005B4D8A">
        <w:rPr>
          <w:rFonts w:ascii="HendersonSansW00-BasicLight" w:eastAsia="Garamond" w:hAnsi="HendersonSansW00-BasicLight" w:cs="Garamond"/>
          <w:b/>
          <w:bCs/>
        </w:rPr>
        <w:t>OFERENTE</w:t>
      </w:r>
      <w:r w:rsidRPr="007427D4">
        <w:rPr>
          <w:rFonts w:ascii="HendersonSansW00-BasicLight" w:eastAsia="Garamond" w:hAnsi="HendersonSansW00-BasicLight" w:cs="Garamond"/>
        </w:rPr>
        <w:t xml:space="preserve"> en la fase de negoción de oferta económica según el orden de mérito resultante.</w:t>
      </w:r>
    </w:p>
    <w:p w14:paraId="6B25B0F9" w14:textId="77777777" w:rsidR="007427D4" w:rsidRPr="00C85C82" w:rsidRDefault="007427D4" w:rsidP="00533DC0">
      <w:pPr>
        <w:spacing w:after="0" w:line="240" w:lineRule="auto"/>
        <w:jc w:val="both"/>
        <w:rPr>
          <w:rFonts w:ascii="HendersonSansW00-BasicLight" w:eastAsia="Garamond" w:hAnsi="HendersonSansW00-BasicLight" w:cs="Garamond"/>
        </w:rPr>
      </w:pPr>
    </w:p>
    <w:p w14:paraId="5BD8B96C" w14:textId="7722840A" w:rsidR="007427D4" w:rsidRDefault="003D4007" w:rsidP="00533DC0">
      <w:pPr>
        <w:spacing w:after="0" w:line="240" w:lineRule="auto"/>
        <w:jc w:val="both"/>
        <w:rPr>
          <w:rFonts w:ascii="HendersonSansW00-BasicLight" w:eastAsia="Garamond" w:hAnsi="HendersonSansW00-BasicLight" w:cs="Garamond"/>
        </w:rPr>
      </w:pPr>
      <w:r w:rsidRPr="000872D7">
        <w:rPr>
          <w:rFonts w:ascii="HendersonSansW00-BasicLight" w:eastAsia="Garamond" w:hAnsi="HendersonSansW00-BasicLight" w:cs="Garamond"/>
        </w:rPr>
        <w:t xml:space="preserve">La </w:t>
      </w:r>
      <w:r w:rsidR="000872D7" w:rsidRPr="005B4D8A">
        <w:rPr>
          <w:rFonts w:ascii="HendersonSansW00-BasicLight" w:eastAsia="Garamond" w:hAnsi="HendersonSansW00-BasicLight" w:cs="Garamond"/>
          <w:b/>
          <w:bCs/>
        </w:rPr>
        <w:t>ADMINISTRACIÓN</w:t>
      </w:r>
      <w:r w:rsidR="00A33DDC" w:rsidRPr="005B4D8A">
        <w:rPr>
          <w:rFonts w:ascii="HendersonSansW00-BasicLight" w:eastAsia="Garamond" w:hAnsi="HendersonSansW00-BasicLight" w:cs="Garamond"/>
          <w:b/>
          <w:bCs/>
        </w:rPr>
        <w:t>,</w:t>
      </w:r>
      <w:r w:rsidR="00A33DDC" w:rsidRPr="00C85C82">
        <w:rPr>
          <w:rFonts w:ascii="HendersonSansW00-BasicLight" w:eastAsia="Garamond" w:hAnsi="HendersonSansW00-BasicLight" w:cs="Garamond"/>
        </w:rPr>
        <w:t xml:space="preserve"> por medio de la Comisión Calificadora, </w:t>
      </w:r>
      <w:r w:rsidR="007427D4" w:rsidRPr="007427D4">
        <w:rPr>
          <w:rFonts w:ascii="HendersonSansW00-BasicLight" w:eastAsia="Garamond" w:hAnsi="HendersonSansW00-BasicLight" w:cs="Garamond"/>
        </w:rPr>
        <w:t>analizará las propuestas técnicas y establecerá el orden de mérito de éstas, de acuerdo con la “</w:t>
      </w:r>
      <w:r w:rsidR="00535DC8" w:rsidRPr="00535DC8">
        <w:rPr>
          <w:rFonts w:ascii="HendersonSansW00-BasicLight" w:eastAsia="Garamond" w:hAnsi="HendersonSansW00-BasicLight" w:cs="Garamond"/>
        </w:rPr>
        <w:t>Metodología para la declaración de elegibilidad de los consultores</w:t>
      </w:r>
      <w:r w:rsidR="007427D4" w:rsidRPr="007427D4">
        <w:rPr>
          <w:rFonts w:ascii="HendersonSansW00-BasicLight" w:eastAsia="Garamond" w:hAnsi="HendersonSansW00-BasicLight" w:cs="Garamond"/>
        </w:rPr>
        <w:t>” (</w:t>
      </w:r>
      <w:r w:rsidR="004E1C08">
        <w:rPr>
          <w:rFonts w:ascii="HendersonSansW00-BasicLight" w:eastAsia="Garamond" w:hAnsi="HendersonSansW00-BasicLight" w:cs="Garamond"/>
        </w:rPr>
        <w:t>A</w:t>
      </w:r>
      <w:r w:rsidR="007427D4" w:rsidRPr="007427D4">
        <w:rPr>
          <w:rFonts w:ascii="HendersonSansW00-BasicLight" w:eastAsia="Garamond" w:hAnsi="HendersonSansW00-BasicLight" w:cs="Garamond"/>
        </w:rPr>
        <w:t xml:space="preserve">nexo 3). </w:t>
      </w:r>
    </w:p>
    <w:p w14:paraId="6A4E1DF3" w14:textId="77777777" w:rsidR="007427D4" w:rsidRDefault="007427D4" w:rsidP="00533DC0">
      <w:pPr>
        <w:spacing w:after="0" w:line="240" w:lineRule="auto"/>
        <w:jc w:val="both"/>
        <w:rPr>
          <w:rFonts w:ascii="HendersonSansW00-BasicLight" w:eastAsia="Garamond" w:hAnsi="HendersonSansW00-BasicLight" w:cs="Garamond"/>
        </w:rPr>
      </w:pPr>
    </w:p>
    <w:p w14:paraId="2A069ACD" w14:textId="73254BDD" w:rsidR="007427D4" w:rsidRPr="005B4D8A" w:rsidRDefault="007427D4" w:rsidP="00533DC0">
      <w:pPr>
        <w:spacing w:after="0" w:line="240" w:lineRule="auto"/>
        <w:jc w:val="both"/>
        <w:rPr>
          <w:rFonts w:ascii="HendersonSansW00-BasicLight" w:eastAsia="Garamond" w:hAnsi="HendersonSansW00-BasicLight" w:cs="Garamond"/>
        </w:rPr>
      </w:pPr>
      <w:r w:rsidRPr="005B4D8A">
        <w:rPr>
          <w:rFonts w:ascii="HendersonSansW00-BasicLight" w:eastAsia="Garamond" w:hAnsi="HendersonSansW00-BasicLight" w:cs="Garamond"/>
        </w:rPr>
        <w:t xml:space="preserve">La negociación contractual comenzará con el </w:t>
      </w:r>
      <w:r w:rsidR="005B4D8A" w:rsidRPr="005B4D8A">
        <w:rPr>
          <w:rFonts w:ascii="HendersonSansW00-BasicLight" w:eastAsia="Garamond" w:hAnsi="HendersonSansW00-BasicLight" w:cs="Garamond"/>
          <w:b/>
          <w:bCs/>
        </w:rPr>
        <w:t>OFERENTE</w:t>
      </w:r>
      <w:r w:rsidRPr="005B4D8A">
        <w:rPr>
          <w:rFonts w:ascii="HendersonSansW00-BasicLight" w:eastAsia="Garamond" w:hAnsi="HendersonSansW00-BasicLight" w:cs="Garamond"/>
        </w:rPr>
        <w:t xml:space="preserve"> que ofrezca la mejor propuesta técnica según el orden de mérito mediante una reunión. En esta etapa, el</w:t>
      </w:r>
      <w:r w:rsidRPr="005B4D8A">
        <w:rPr>
          <w:rFonts w:ascii="HendersonSansW00-BasicLight" w:eastAsia="Garamond" w:hAnsi="HendersonSansW00-BasicLight" w:cs="Garamond"/>
          <w:b/>
          <w:bCs/>
        </w:rPr>
        <w:t xml:space="preserve"> OFERENTE</w:t>
      </w:r>
      <w:r w:rsidRPr="005B4D8A">
        <w:rPr>
          <w:rFonts w:ascii="HendersonSansW00-BasicLight" w:eastAsia="Garamond" w:hAnsi="HendersonSansW00-BasicLight" w:cs="Garamond"/>
        </w:rPr>
        <w:t xml:space="preserve"> aportará la contraseña de la oferta económica digital, se abrirá en presencia de uno o más representantes del mismo en dicha reunión, y se utilizará la oferta propuesta como base en la negociación contractual. </w:t>
      </w:r>
    </w:p>
    <w:p w14:paraId="5A6D69DC" w14:textId="77777777" w:rsidR="007427D4" w:rsidRPr="005B4D8A" w:rsidRDefault="007427D4" w:rsidP="00533DC0">
      <w:pPr>
        <w:spacing w:after="0" w:line="240" w:lineRule="auto"/>
        <w:jc w:val="both"/>
        <w:rPr>
          <w:rFonts w:ascii="HendersonSansW00-BasicLight" w:eastAsia="Garamond" w:hAnsi="HendersonSansW00-BasicLight" w:cs="Garamond"/>
        </w:rPr>
      </w:pPr>
    </w:p>
    <w:p w14:paraId="32831063" w14:textId="77777777" w:rsidR="007427D4" w:rsidRPr="005B4D8A" w:rsidRDefault="007427D4" w:rsidP="00533DC0">
      <w:pPr>
        <w:spacing w:after="0" w:line="240" w:lineRule="auto"/>
        <w:jc w:val="both"/>
        <w:rPr>
          <w:rFonts w:ascii="HendersonSansW00-BasicLight" w:eastAsia="Garamond" w:hAnsi="HendersonSansW00-BasicLight" w:cs="Garamond"/>
        </w:rPr>
      </w:pPr>
      <w:r w:rsidRPr="005B4D8A">
        <w:rPr>
          <w:rFonts w:ascii="HendersonSansW00-BasicLight" w:eastAsia="Garamond" w:hAnsi="HendersonSansW00-BasicLight" w:cs="Garamond"/>
        </w:rPr>
        <w:t xml:space="preserve">Todas las segundas ofertas económicas digitales presentadas por los restantes </w:t>
      </w:r>
      <w:r w:rsidRPr="005B4D8A">
        <w:rPr>
          <w:rFonts w:ascii="HendersonSansW00-BasicLight" w:eastAsia="Garamond" w:hAnsi="HendersonSansW00-BasicLight" w:cs="Garamond"/>
          <w:b/>
          <w:bCs/>
        </w:rPr>
        <w:t xml:space="preserve">OFERENTES </w:t>
      </w:r>
      <w:r w:rsidRPr="005B4D8A">
        <w:rPr>
          <w:rFonts w:ascii="HendersonSansW00-BasicLight" w:eastAsia="Garamond" w:hAnsi="HendersonSansW00-BasicLight" w:cs="Garamond"/>
        </w:rPr>
        <w:t xml:space="preserve">continuarán sin abrir y, de llegarse a un acuerdo con el primer consultor, no se negociará con algún otro </w:t>
      </w:r>
      <w:r w:rsidRPr="005B4D8A">
        <w:rPr>
          <w:rFonts w:ascii="HendersonSansW00-BasicLight" w:eastAsia="Garamond" w:hAnsi="HendersonSansW00-BasicLight" w:cs="Garamond"/>
          <w:b/>
          <w:bCs/>
        </w:rPr>
        <w:t>OFERENTE.</w:t>
      </w:r>
    </w:p>
    <w:p w14:paraId="69187C48" w14:textId="77777777" w:rsidR="007427D4" w:rsidRPr="005B4D8A" w:rsidRDefault="007427D4" w:rsidP="00533DC0">
      <w:pPr>
        <w:spacing w:after="0" w:line="240" w:lineRule="auto"/>
        <w:jc w:val="both"/>
        <w:rPr>
          <w:rFonts w:ascii="HendersonSansW00-BasicLight" w:eastAsia="Garamond" w:hAnsi="HendersonSansW00-BasicLight" w:cs="Garamond"/>
        </w:rPr>
      </w:pPr>
    </w:p>
    <w:p w14:paraId="6B64B995" w14:textId="7B5C8538" w:rsidR="007427D4" w:rsidRPr="005B4D8A" w:rsidRDefault="007427D4" w:rsidP="00533DC0">
      <w:pPr>
        <w:spacing w:after="0" w:line="240" w:lineRule="auto"/>
        <w:jc w:val="both"/>
        <w:rPr>
          <w:rFonts w:ascii="HendersonSansW00-BasicLight" w:eastAsia="Garamond" w:hAnsi="HendersonSansW00-BasicLight" w:cs="Garamond"/>
        </w:rPr>
      </w:pPr>
      <w:r w:rsidRPr="005B4D8A">
        <w:rPr>
          <w:rFonts w:ascii="HendersonSansW00-BasicLight" w:eastAsia="Garamond" w:hAnsi="HendersonSansW00-BasicLight" w:cs="Garamond"/>
        </w:rPr>
        <w:t xml:space="preserve">De no llegarse a un acuerdo con el primer consultor respecto de las condiciones contractuales, se le notificará por escrito ese desacuerdo, y se iniciará la negociación con el segundo </w:t>
      </w:r>
      <w:r w:rsidRPr="005B4D8A">
        <w:rPr>
          <w:rFonts w:ascii="HendersonSansW00-BasicLight" w:eastAsia="Garamond" w:hAnsi="HendersonSansW00-BasicLight" w:cs="Garamond"/>
          <w:b/>
          <w:bCs/>
        </w:rPr>
        <w:t>OFERENTE</w:t>
      </w:r>
      <w:r w:rsidRPr="005B4D8A">
        <w:rPr>
          <w:rFonts w:ascii="HendersonSansW00-BasicLight" w:eastAsia="Garamond" w:hAnsi="HendersonSansW00-BasicLight" w:cs="Garamond"/>
        </w:rPr>
        <w:t xml:space="preserve"> y así sucesivamente hasta llegar a un acuerdo satisfactorio para la </w:t>
      </w:r>
      <w:r w:rsidR="000872D7" w:rsidRPr="005B4D8A">
        <w:rPr>
          <w:rFonts w:ascii="HendersonSansW00-BasicLight" w:eastAsia="Garamond" w:hAnsi="HendersonSansW00-BasicLight" w:cs="Garamond"/>
          <w:b/>
          <w:bCs/>
        </w:rPr>
        <w:t>ADMINISTRACIÓN</w:t>
      </w:r>
      <w:r w:rsidRPr="005B4D8A">
        <w:rPr>
          <w:rFonts w:ascii="HendersonSansW00-BasicLight" w:eastAsia="Garamond" w:hAnsi="HendersonSansW00-BasicLight" w:cs="Garamond"/>
          <w:b/>
          <w:bCs/>
        </w:rPr>
        <w:t>.</w:t>
      </w:r>
    </w:p>
    <w:p w14:paraId="12308AC2" w14:textId="77777777" w:rsidR="007427D4" w:rsidRPr="005B4D8A" w:rsidRDefault="007427D4" w:rsidP="00533DC0">
      <w:pPr>
        <w:spacing w:after="0" w:line="240" w:lineRule="auto"/>
        <w:jc w:val="both"/>
        <w:rPr>
          <w:rFonts w:ascii="HendersonSansW00-BasicLight" w:eastAsia="Garamond" w:hAnsi="HendersonSansW00-BasicLight" w:cs="Garamond"/>
        </w:rPr>
      </w:pPr>
    </w:p>
    <w:p w14:paraId="60BE1ACE" w14:textId="43C1C934" w:rsidR="00BD55DE" w:rsidRPr="005B4D8A" w:rsidRDefault="007427D4" w:rsidP="00533DC0">
      <w:pPr>
        <w:spacing w:after="0" w:line="240" w:lineRule="auto"/>
        <w:jc w:val="both"/>
        <w:rPr>
          <w:rFonts w:ascii="HendersonSansW00-BasicLight" w:eastAsia="Garamond" w:hAnsi="HendersonSansW00-BasicLight" w:cs="Garamond"/>
        </w:rPr>
      </w:pPr>
      <w:r w:rsidRPr="005B4D8A">
        <w:rPr>
          <w:rFonts w:ascii="HendersonSansW00-BasicLight" w:eastAsia="Garamond" w:hAnsi="HendersonSansW00-BasicLight" w:cs="Garamond"/>
        </w:rPr>
        <w:lastRenderedPageBreak/>
        <w:t xml:space="preserve">El </w:t>
      </w:r>
      <w:r w:rsidRPr="005B4D8A">
        <w:rPr>
          <w:rFonts w:ascii="HendersonSansW00-BasicLight" w:eastAsia="Garamond" w:hAnsi="HendersonSansW00-BasicLight" w:cs="Garamond"/>
          <w:b/>
          <w:bCs/>
        </w:rPr>
        <w:t>OFERENTE</w:t>
      </w:r>
      <w:r w:rsidRPr="005B4D8A">
        <w:rPr>
          <w:rFonts w:ascii="HendersonSansW00-BasicLight" w:eastAsia="Garamond" w:hAnsi="HendersonSansW00-BasicLight" w:cs="Garamond"/>
        </w:rPr>
        <w:t xml:space="preserve"> debe garantizar de previo al envío, que los archivos con los antecedentes preliminares, la oferta técnica</w:t>
      </w:r>
      <w:r w:rsidR="000C4945">
        <w:rPr>
          <w:rFonts w:ascii="HendersonSansW00-BasicLight" w:eastAsia="Garamond" w:hAnsi="HendersonSansW00-BasicLight" w:cs="Garamond"/>
        </w:rPr>
        <w:t xml:space="preserve">, </w:t>
      </w:r>
      <w:r w:rsidRPr="005B4D8A">
        <w:rPr>
          <w:rFonts w:ascii="HendersonSansW00-BasicLight" w:eastAsia="Garamond" w:hAnsi="HendersonSansW00-BasicLight" w:cs="Garamond"/>
        </w:rPr>
        <w:t xml:space="preserve">la oferta económica, </w:t>
      </w:r>
      <w:r w:rsidR="000C4945">
        <w:rPr>
          <w:rFonts w:ascii="HendersonSansW00-BasicLight" w:eastAsia="Garamond" w:hAnsi="HendersonSansW00-BasicLight" w:cs="Garamond"/>
        </w:rPr>
        <w:t xml:space="preserve">y el cronograma de actividades, </w:t>
      </w:r>
      <w:r w:rsidRPr="005B4D8A">
        <w:rPr>
          <w:rFonts w:ascii="HendersonSansW00-BasicLight" w:eastAsia="Garamond" w:hAnsi="HendersonSansW00-BasicLight" w:cs="Garamond"/>
        </w:rPr>
        <w:t>no presenten fallos para abrirse.</w:t>
      </w:r>
    </w:p>
    <w:p w14:paraId="39B66B6F" w14:textId="77777777" w:rsidR="00AF2B5D" w:rsidRPr="00C85C82" w:rsidRDefault="00AF2B5D" w:rsidP="00533DC0">
      <w:pPr>
        <w:spacing w:after="0" w:line="240" w:lineRule="auto"/>
        <w:jc w:val="both"/>
        <w:rPr>
          <w:rFonts w:ascii="HendersonSansW00-BasicLight" w:eastAsia="Garamond" w:hAnsi="HendersonSansW00-BasicLight" w:cs="Garamond"/>
        </w:rPr>
      </w:pPr>
    </w:p>
    <w:p w14:paraId="7817316A" w14:textId="77777777" w:rsidR="00BD55DE" w:rsidRPr="00C85C82" w:rsidRDefault="00A33DDC" w:rsidP="00533DC0">
      <w:pPr>
        <w:keepNext/>
        <w:numPr>
          <w:ilvl w:val="0"/>
          <w:numId w:val="8"/>
        </w:numPr>
        <w:tabs>
          <w:tab w:val="left" w:pos="-720"/>
        </w:tabs>
        <w:spacing w:after="0" w:line="240" w:lineRule="auto"/>
        <w:ind w:left="709"/>
        <w:rPr>
          <w:rFonts w:ascii="HendersonSansW00-BasicLight" w:eastAsia="Garamond" w:hAnsi="HendersonSansW00-BasicLight" w:cs="Garamond"/>
          <w:b/>
          <w:color w:val="000000"/>
        </w:rPr>
      </w:pPr>
      <w:bookmarkStart w:id="6" w:name="_heading=h.1t3h5sf" w:colFirst="0" w:colLast="0"/>
      <w:bookmarkEnd w:id="6"/>
      <w:r w:rsidRPr="00C85C82">
        <w:rPr>
          <w:rFonts w:ascii="HendersonSansW00-BasicLight" w:eastAsia="Garamond" w:hAnsi="HendersonSansW00-BasicLight" w:cs="Garamond"/>
          <w:b/>
          <w:color w:val="000000"/>
        </w:rPr>
        <w:t>CONTENIDO DEL DOCUMENTO</w:t>
      </w:r>
    </w:p>
    <w:p w14:paraId="63E0AA41" w14:textId="77777777" w:rsidR="00294AFE" w:rsidRPr="00C85C82" w:rsidRDefault="00294AFE" w:rsidP="00533DC0">
      <w:pPr>
        <w:tabs>
          <w:tab w:val="left" w:pos="9356"/>
        </w:tabs>
        <w:spacing w:after="0" w:line="240" w:lineRule="auto"/>
        <w:ind w:right="6"/>
        <w:jc w:val="both"/>
        <w:rPr>
          <w:rFonts w:ascii="HendersonSansW00-BasicLight" w:eastAsia="Garamond" w:hAnsi="HendersonSansW00-BasicLight" w:cs="Garamond"/>
        </w:rPr>
      </w:pPr>
    </w:p>
    <w:p w14:paraId="3EA7B94B" w14:textId="77777777" w:rsidR="005A45C2" w:rsidRDefault="005A45C2" w:rsidP="00533DC0">
      <w:pPr>
        <w:tabs>
          <w:tab w:val="left" w:pos="9356"/>
        </w:tabs>
        <w:spacing w:after="0" w:line="240" w:lineRule="auto"/>
        <w:ind w:right="6"/>
        <w:jc w:val="both"/>
        <w:rPr>
          <w:rFonts w:ascii="HendersonSansW00-BasicLight" w:eastAsia="Garamond" w:hAnsi="HendersonSansW00-BasicLight" w:cs="Garamond"/>
        </w:rPr>
      </w:pPr>
    </w:p>
    <w:p w14:paraId="2CCFB4E2" w14:textId="6A2593E5" w:rsidR="00BD55DE" w:rsidRPr="00C85C82" w:rsidRDefault="00A33DDC" w:rsidP="00533DC0">
      <w:pPr>
        <w:tabs>
          <w:tab w:val="left" w:pos="9356"/>
        </w:tabs>
        <w:spacing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Este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contiene las Condiciones Generales para la participación de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en la primera etapa del Concurso Público que conllevan a la presentación de propuestas formales, los Anexos: </w:t>
      </w:r>
    </w:p>
    <w:p w14:paraId="375B01DE" w14:textId="77777777" w:rsidR="00BD55DE" w:rsidRPr="00C85C82" w:rsidRDefault="00BD55DE" w:rsidP="00533DC0">
      <w:pPr>
        <w:tabs>
          <w:tab w:val="left" w:pos="9356"/>
        </w:tabs>
        <w:spacing w:after="0" w:line="240" w:lineRule="auto"/>
        <w:ind w:right="6"/>
        <w:jc w:val="both"/>
        <w:rPr>
          <w:rFonts w:ascii="HendersonSansW00-BasicLight" w:eastAsia="Garamond" w:hAnsi="HendersonSansW00-BasicLight" w:cs="Garamond"/>
        </w:rPr>
      </w:pPr>
    </w:p>
    <w:p w14:paraId="19F39243" w14:textId="3FC4EEE3" w:rsidR="00522C14" w:rsidRDefault="00A33DDC" w:rsidP="00533DC0">
      <w:pPr>
        <w:tabs>
          <w:tab w:val="left" w:pos="9356"/>
        </w:tabs>
        <w:spacing w:after="0" w:line="240" w:lineRule="auto"/>
        <w:ind w:right="6"/>
        <w:jc w:val="both"/>
        <w:rPr>
          <w:rFonts w:ascii="HendersonSansW00-BasicLight" w:eastAsia="Garamond" w:hAnsi="HendersonSansW00-BasicLight" w:cs="Garamond"/>
          <w:i/>
        </w:rPr>
      </w:pPr>
      <w:r w:rsidRPr="003D4007">
        <w:rPr>
          <w:rFonts w:ascii="HendersonSansW00-BasicLight" w:eastAsia="Garamond" w:hAnsi="HendersonSansW00-BasicLight" w:cs="Garamond"/>
          <w:b/>
        </w:rPr>
        <w:t>Anexo No. 1:</w:t>
      </w:r>
      <w:r w:rsidRPr="003D4007">
        <w:rPr>
          <w:rFonts w:ascii="HendersonSansW00-BasicLight" w:eastAsia="Garamond" w:hAnsi="HendersonSansW00-BasicLight" w:cs="Garamond"/>
          <w:i/>
        </w:rPr>
        <w:t xml:space="preserve"> “Instructivo para la presentación de la información financiera del oferente”</w:t>
      </w:r>
    </w:p>
    <w:p w14:paraId="010D5C66" w14:textId="77777777" w:rsidR="00490862" w:rsidRPr="003D4007" w:rsidRDefault="00490862" w:rsidP="00533DC0">
      <w:pPr>
        <w:tabs>
          <w:tab w:val="left" w:pos="9356"/>
        </w:tabs>
        <w:spacing w:after="0" w:line="240" w:lineRule="auto"/>
        <w:ind w:right="6"/>
        <w:jc w:val="both"/>
        <w:rPr>
          <w:rFonts w:ascii="HendersonSansW00-BasicLight" w:eastAsia="Garamond" w:hAnsi="HendersonSansW00-BasicLight" w:cs="Garamond"/>
          <w:i/>
        </w:rPr>
      </w:pPr>
    </w:p>
    <w:p w14:paraId="77476345" w14:textId="622AC804" w:rsidR="00522C14" w:rsidRDefault="00A33DDC" w:rsidP="00533DC0">
      <w:pPr>
        <w:tabs>
          <w:tab w:val="left" w:pos="9356"/>
        </w:tabs>
        <w:spacing w:after="0" w:line="240" w:lineRule="auto"/>
        <w:ind w:right="6"/>
        <w:jc w:val="both"/>
        <w:rPr>
          <w:rFonts w:ascii="HendersonSansW00-BasicLight" w:eastAsia="Garamond" w:hAnsi="HendersonSansW00-BasicLight" w:cs="Garamond"/>
          <w:i/>
        </w:rPr>
      </w:pPr>
      <w:r w:rsidRPr="003D4007">
        <w:rPr>
          <w:rFonts w:ascii="HendersonSansW00-BasicLight" w:eastAsia="Garamond" w:hAnsi="HendersonSansW00-BasicLight" w:cs="Garamond"/>
          <w:b/>
        </w:rPr>
        <w:t xml:space="preserve">Anexo No. 2: </w:t>
      </w:r>
      <w:r w:rsidRPr="003D4007">
        <w:rPr>
          <w:rFonts w:ascii="HendersonSansW00-BasicLight" w:eastAsia="Garamond" w:hAnsi="HendersonSansW00-BasicLight" w:cs="Garamond"/>
          <w:i/>
        </w:rPr>
        <w:t>“Formularios y Formatos”</w:t>
      </w:r>
    </w:p>
    <w:p w14:paraId="1E483A51" w14:textId="77777777" w:rsidR="00490862" w:rsidRDefault="00490862" w:rsidP="00533DC0">
      <w:pPr>
        <w:tabs>
          <w:tab w:val="left" w:pos="9356"/>
        </w:tabs>
        <w:spacing w:after="0" w:line="240" w:lineRule="auto"/>
        <w:ind w:right="6"/>
        <w:jc w:val="both"/>
        <w:rPr>
          <w:rFonts w:ascii="HendersonSansW00-BasicLight" w:eastAsia="Garamond" w:hAnsi="HendersonSansW00-BasicLight" w:cs="Garamond"/>
          <w:i/>
        </w:rPr>
      </w:pPr>
    </w:p>
    <w:p w14:paraId="7F2AF66E" w14:textId="4FB50C84" w:rsidR="00490862" w:rsidRPr="00490862" w:rsidRDefault="00490862" w:rsidP="00533DC0">
      <w:pPr>
        <w:spacing w:after="0" w:line="240" w:lineRule="auto"/>
        <w:ind w:firstLine="720"/>
        <w:rPr>
          <w:rFonts w:ascii="HendersonSansW00-BasicLight" w:eastAsia="Garamond" w:hAnsi="HendersonSansW00-BasicLight" w:cs="Garamond"/>
          <w:i/>
        </w:rPr>
      </w:pPr>
      <w:r>
        <w:rPr>
          <w:rFonts w:ascii="HendersonSansW00-BasicLight" w:eastAsia="Garamond" w:hAnsi="HendersonSansW00-BasicLight" w:cs="Garamond"/>
          <w:i/>
        </w:rPr>
        <w:t>Formulario FB-20: “I</w:t>
      </w:r>
      <w:r w:rsidRPr="00490862">
        <w:rPr>
          <w:rFonts w:ascii="HendersonSansW00-BasicLight" w:eastAsia="Garamond" w:hAnsi="HendersonSansW00-BasicLight" w:cs="Garamond"/>
          <w:i/>
        </w:rPr>
        <w:t>nformación básica de la empresa consultora</w:t>
      </w:r>
      <w:r>
        <w:rPr>
          <w:rFonts w:ascii="HendersonSansW00-BasicLight" w:eastAsia="Garamond" w:hAnsi="HendersonSansW00-BasicLight" w:cs="Garamond"/>
          <w:i/>
        </w:rPr>
        <w:t>”</w:t>
      </w:r>
    </w:p>
    <w:p w14:paraId="3A01F4EB" w14:textId="77777777" w:rsidR="00490862" w:rsidRDefault="00490862" w:rsidP="00533DC0">
      <w:pPr>
        <w:spacing w:after="0" w:line="240" w:lineRule="auto"/>
        <w:ind w:firstLine="720"/>
        <w:rPr>
          <w:rFonts w:ascii="HendersonSansW00-BasicLight" w:eastAsia="Garamond" w:hAnsi="HendersonSansW00-BasicLight" w:cs="Garamond"/>
          <w:i/>
        </w:rPr>
      </w:pPr>
      <w:r>
        <w:rPr>
          <w:rFonts w:ascii="HendersonSansW00-BasicLight" w:eastAsia="Garamond" w:hAnsi="HendersonSansW00-BasicLight" w:cs="Garamond"/>
          <w:i/>
        </w:rPr>
        <w:t>T</w:t>
      </w:r>
      <w:r w:rsidRPr="00490862">
        <w:rPr>
          <w:rFonts w:ascii="HendersonSansW00-BasicLight" w:eastAsia="Garamond" w:hAnsi="HendersonSansW00-BasicLight" w:cs="Garamond"/>
          <w:i/>
        </w:rPr>
        <w:t>abla 1a formato</w:t>
      </w:r>
      <w:r>
        <w:rPr>
          <w:rFonts w:ascii="HendersonSansW00-BasicLight" w:eastAsia="Garamond" w:hAnsi="HendersonSansW00-BasicLight" w:cs="Garamond"/>
          <w:i/>
        </w:rPr>
        <w:t>: “F</w:t>
      </w:r>
      <w:r w:rsidRPr="00490862">
        <w:rPr>
          <w:rFonts w:ascii="HendersonSansW00-BasicLight" w:eastAsia="Garamond" w:hAnsi="HendersonSansW00-BasicLight" w:cs="Garamond"/>
          <w:i/>
        </w:rPr>
        <w:t>ormato de certificación de experiencia</w:t>
      </w:r>
      <w:r>
        <w:rPr>
          <w:rFonts w:ascii="HendersonSansW00-BasicLight" w:eastAsia="Garamond" w:hAnsi="HendersonSansW00-BasicLight" w:cs="Garamond"/>
          <w:i/>
        </w:rPr>
        <w:t>”</w:t>
      </w:r>
    </w:p>
    <w:p w14:paraId="08F22A40" w14:textId="70CE6B94" w:rsidR="00490862" w:rsidRPr="00490862" w:rsidRDefault="00490862" w:rsidP="00533DC0">
      <w:pPr>
        <w:spacing w:after="0" w:line="240" w:lineRule="auto"/>
        <w:ind w:firstLine="720"/>
        <w:rPr>
          <w:rFonts w:ascii="HendersonSansW00-BasicLight" w:eastAsia="Garamond" w:hAnsi="HendersonSansW00-BasicLight" w:cs="Garamond"/>
          <w:i/>
        </w:rPr>
      </w:pPr>
      <w:r>
        <w:rPr>
          <w:rFonts w:ascii="HendersonSansW00-BasicLight" w:eastAsia="Garamond" w:hAnsi="HendersonSansW00-BasicLight" w:cs="Garamond"/>
          <w:i/>
        </w:rPr>
        <w:t>T</w:t>
      </w:r>
      <w:r w:rsidRPr="00490862">
        <w:rPr>
          <w:rFonts w:ascii="HendersonSansW00-BasicLight" w:eastAsia="Garamond" w:hAnsi="HendersonSansW00-BasicLight" w:cs="Garamond"/>
          <w:i/>
        </w:rPr>
        <w:t>abla 1b formato</w:t>
      </w:r>
      <w:r>
        <w:rPr>
          <w:rFonts w:ascii="HendersonSansW00-BasicLight" w:eastAsia="Garamond" w:hAnsi="HendersonSansW00-BasicLight" w:cs="Garamond"/>
          <w:i/>
        </w:rPr>
        <w:t>: “C</w:t>
      </w:r>
      <w:r w:rsidRPr="00490862">
        <w:rPr>
          <w:rFonts w:ascii="HendersonSansW00-BasicLight" w:eastAsia="Garamond" w:hAnsi="HendersonSansW00-BasicLight" w:cs="Garamond"/>
          <w:i/>
        </w:rPr>
        <w:t>ertificación experiencia en competencias específicas</w:t>
      </w:r>
      <w:r>
        <w:rPr>
          <w:rFonts w:ascii="HendersonSansW00-BasicLight" w:eastAsia="Garamond" w:hAnsi="HendersonSansW00-BasicLight" w:cs="Garamond"/>
          <w:i/>
        </w:rPr>
        <w:t>”</w:t>
      </w:r>
    </w:p>
    <w:p w14:paraId="73BC6CA5" w14:textId="77777777" w:rsidR="00490862" w:rsidRPr="00C85C82" w:rsidRDefault="00490862" w:rsidP="00533DC0">
      <w:pPr>
        <w:keepNext/>
        <w:keepLines/>
        <w:spacing w:after="0" w:line="240" w:lineRule="auto"/>
        <w:ind w:left="-566" w:right="-646"/>
        <w:jc w:val="center"/>
        <w:rPr>
          <w:rFonts w:ascii="HendersonSansW00-BasicLight" w:eastAsia="Garamond" w:hAnsi="HendersonSansW00-BasicLight" w:cs="Garamond"/>
          <w:b/>
        </w:rPr>
      </w:pPr>
    </w:p>
    <w:p w14:paraId="70AF08BE" w14:textId="1C742184" w:rsidR="00BD55DE" w:rsidRDefault="00A33DDC" w:rsidP="00533DC0">
      <w:pPr>
        <w:tabs>
          <w:tab w:val="left" w:pos="9356"/>
        </w:tabs>
        <w:spacing w:after="0" w:line="240" w:lineRule="auto"/>
        <w:ind w:right="6"/>
        <w:jc w:val="both"/>
        <w:rPr>
          <w:rFonts w:ascii="HendersonSansW00-BasicLight" w:eastAsia="Garamond" w:hAnsi="HendersonSansW00-BasicLight" w:cs="Garamond"/>
          <w:i/>
        </w:rPr>
      </w:pPr>
      <w:r w:rsidRPr="003D4007">
        <w:rPr>
          <w:rFonts w:ascii="HendersonSansW00-BasicLight" w:eastAsia="Garamond" w:hAnsi="HendersonSansW00-BasicLight" w:cs="Garamond"/>
          <w:b/>
        </w:rPr>
        <w:t>Anexo No. 3:</w:t>
      </w:r>
      <w:r w:rsidRPr="003D4007">
        <w:rPr>
          <w:rFonts w:ascii="HendersonSansW00-BasicLight" w:eastAsia="Garamond" w:hAnsi="HendersonSansW00-BasicLight" w:cs="Garamond"/>
          <w:i/>
        </w:rPr>
        <w:t xml:space="preserve"> “</w:t>
      </w:r>
      <w:r w:rsidR="00535DC8" w:rsidRPr="00535DC8">
        <w:rPr>
          <w:rFonts w:ascii="HendersonSansW00-BasicLight" w:eastAsia="Garamond" w:hAnsi="HendersonSansW00-BasicLight" w:cs="Garamond"/>
          <w:i/>
        </w:rPr>
        <w:t>Metodología para la declaración de elegibilidad de los consultores</w:t>
      </w:r>
      <w:r w:rsidRPr="003D4007">
        <w:rPr>
          <w:rFonts w:ascii="HendersonSansW00-BasicLight" w:eastAsia="Garamond" w:hAnsi="HendersonSansW00-BasicLight" w:cs="Garamond"/>
          <w:i/>
        </w:rPr>
        <w:t>”</w:t>
      </w:r>
    </w:p>
    <w:p w14:paraId="7F1A7F22" w14:textId="77777777" w:rsidR="00490862" w:rsidRPr="003D4007" w:rsidRDefault="00490862" w:rsidP="00533DC0">
      <w:pPr>
        <w:tabs>
          <w:tab w:val="left" w:pos="9356"/>
        </w:tabs>
        <w:spacing w:after="0" w:line="240" w:lineRule="auto"/>
        <w:ind w:right="6"/>
        <w:jc w:val="both"/>
        <w:rPr>
          <w:rFonts w:ascii="HendersonSansW00-BasicLight" w:eastAsia="Garamond" w:hAnsi="HendersonSansW00-BasicLight" w:cs="Garamond"/>
          <w:i/>
        </w:rPr>
      </w:pPr>
    </w:p>
    <w:p w14:paraId="576D86D2" w14:textId="1863F747" w:rsidR="00D13CA1" w:rsidRPr="003D4007" w:rsidRDefault="00A33DDC" w:rsidP="00533DC0">
      <w:pPr>
        <w:tabs>
          <w:tab w:val="left" w:pos="9356"/>
        </w:tabs>
        <w:spacing w:after="0" w:line="240" w:lineRule="auto"/>
        <w:ind w:right="6"/>
        <w:jc w:val="both"/>
        <w:rPr>
          <w:rFonts w:ascii="HendersonSansW00-BasicLight" w:eastAsia="Garamond" w:hAnsi="HendersonSansW00-BasicLight" w:cs="Garamond"/>
          <w:i/>
        </w:rPr>
      </w:pPr>
      <w:r w:rsidRPr="003D4007">
        <w:rPr>
          <w:rFonts w:ascii="HendersonSansW00-BasicLight" w:eastAsia="Garamond" w:hAnsi="HendersonSansW00-BasicLight" w:cs="Garamond"/>
          <w:b/>
        </w:rPr>
        <w:t>Anexo No. 4:</w:t>
      </w:r>
      <w:r w:rsidRPr="003D4007">
        <w:rPr>
          <w:rFonts w:ascii="HendersonSansW00-BasicLight" w:eastAsia="Garamond" w:hAnsi="HendersonSansW00-BasicLight" w:cs="Garamond"/>
          <w:i/>
        </w:rPr>
        <w:t xml:space="preserve"> “Términos de Referencia”</w:t>
      </w:r>
    </w:p>
    <w:p w14:paraId="4904DBC0"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5A6F3CE6"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bookmarkStart w:id="7" w:name="_heading=h.4d34og8" w:colFirst="0" w:colLast="0"/>
      <w:bookmarkEnd w:id="7"/>
      <w:r w:rsidRPr="00C85C82">
        <w:rPr>
          <w:rFonts w:ascii="HendersonSansW00-BasicLight" w:eastAsia="Garamond" w:hAnsi="HendersonSansW00-BasicLight" w:cs="Garamond"/>
          <w:b/>
          <w:color w:val="000000"/>
        </w:rPr>
        <w:t>CONDICIONES</w:t>
      </w:r>
    </w:p>
    <w:p w14:paraId="78802FD3" w14:textId="77777777" w:rsidR="00BD55DE" w:rsidRPr="00C85C82" w:rsidRDefault="00BD55DE" w:rsidP="00533DC0">
      <w:pPr>
        <w:spacing w:after="0" w:line="240" w:lineRule="auto"/>
        <w:rPr>
          <w:rFonts w:ascii="HendersonSansW00-BasicLight" w:eastAsia="Garamond" w:hAnsi="HendersonSansW00-BasicLight" w:cs="Garamond"/>
        </w:rPr>
      </w:pPr>
    </w:p>
    <w:p w14:paraId="68B79D8C" w14:textId="77777777" w:rsidR="00BD55DE" w:rsidRPr="00C85C82" w:rsidRDefault="00A33DDC" w:rsidP="00533DC0">
      <w:pPr>
        <w:numPr>
          <w:ilvl w:val="0"/>
          <w:numId w:val="9"/>
        </w:numPr>
        <w:spacing w:after="0" w:line="240" w:lineRule="auto"/>
        <w:ind w:left="360"/>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formulará la convocatoria para presentar los </w:t>
      </w:r>
      <w:r w:rsidRPr="00C85C82">
        <w:rPr>
          <w:rFonts w:ascii="HendersonSansW00-BasicLight" w:eastAsia="Garamond" w:hAnsi="HendersonSansW00-BasicLight" w:cs="Garamond"/>
          <w:b/>
        </w:rPr>
        <w:t>ANTECEDENTES PRELIMINARES</w:t>
      </w:r>
      <w:r w:rsidRPr="00C85C82">
        <w:rPr>
          <w:rFonts w:ascii="HendersonSansW00-BasicLight" w:eastAsia="Garamond" w:hAnsi="HendersonSansW00-BasicLight" w:cs="Garamond"/>
        </w:rPr>
        <w:t xml:space="preserve"> del presente Concurso.</w:t>
      </w:r>
    </w:p>
    <w:p w14:paraId="6723F347"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6938C873" w14:textId="77777777" w:rsidR="00BD55DE" w:rsidRPr="00C85C82" w:rsidRDefault="00A33DDC" w:rsidP="00533DC0">
      <w:pPr>
        <w:numPr>
          <w:ilvl w:val="0"/>
          <w:numId w:val="9"/>
        </w:numPr>
        <w:spacing w:after="0" w:line="240" w:lineRule="auto"/>
        <w:ind w:left="360"/>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objeto del presente Concurso es precalificar a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en capacidad técnica y financiera para llevar a cabo el </w:t>
      </w:r>
      <w:r w:rsidRPr="00C85C82">
        <w:rPr>
          <w:rFonts w:ascii="HendersonSansW00-BasicLight" w:eastAsia="Garamond" w:hAnsi="HendersonSansW00-BasicLight" w:cs="Garamond"/>
          <w:b/>
        </w:rPr>
        <w:t>ESTUDIO</w:t>
      </w:r>
      <w:r w:rsidRPr="00C85C82">
        <w:rPr>
          <w:rFonts w:ascii="HendersonSansW00-BasicLight" w:eastAsia="Garamond" w:hAnsi="HendersonSansW00-BasicLight" w:cs="Garamond"/>
        </w:rPr>
        <w:t>, a fin de seleccionar aquellos a los cuales se invitará a presentar propuestas formales.</w:t>
      </w:r>
    </w:p>
    <w:p w14:paraId="426EE5EE"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3377A27E" w14:textId="77777777" w:rsidR="00BD55DE" w:rsidRPr="00C85C82" w:rsidRDefault="00A33DDC" w:rsidP="00533DC0">
      <w:pPr>
        <w:numPr>
          <w:ilvl w:val="0"/>
          <w:numId w:val="9"/>
        </w:numPr>
        <w:spacing w:after="0" w:line="240" w:lineRule="auto"/>
        <w:ind w:left="360"/>
        <w:jc w:val="both"/>
        <w:rPr>
          <w:rFonts w:ascii="HendersonSansW00-BasicLight" w:eastAsia="Garamond" w:hAnsi="HendersonSansW00-BasicLight" w:cs="Garamond"/>
          <w:b/>
        </w:rPr>
      </w:pPr>
      <w:r w:rsidRPr="00C85C82">
        <w:rPr>
          <w:rFonts w:ascii="HendersonSansW00-BasicLight" w:eastAsia="Garamond" w:hAnsi="HendersonSansW00-BasicLight" w:cs="Garamond"/>
        </w:rPr>
        <w:t xml:space="preserve">El Concurso Público bajo el sistema de precalificación se rige por lo estipulado en el presente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y por lo dispuesto en la </w:t>
      </w:r>
      <w:r w:rsidRPr="00C85C82">
        <w:rPr>
          <w:rFonts w:ascii="HendersonSansW00-BasicLight" w:eastAsia="Garamond" w:hAnsi="HendersonSansW00-BasicLight" w:cs="Garamond"/>
          <w:b/>
        </w:rPr>
        <w:t>LEY</w:t>
      </w:r>
      <w:r w:rsidRPr="00C85C82">
        <w:rPr>
          <w:rFonts w:ascii="HendersonSansW00-BasicLight" w:eastAsia="Garamond" w:hAnsi="HendersonSansW00-BasicLight" w:cs="Garamond"/>
        </w:rPr>
        <w:t xml:space="preserve"> y el </w:t>
      </w:r>
      <w:r w:rsidRPr="00C85C82">
        <w:rPr>
          <w:rFonts w:ascii="HendersonSansW00-BasicLight" w:eastAsia="Garamond" w:hAnsi="HendersonSansW00-BasicLight" w:cs="Garamond"/>
          <w:b/>
        </w:rPr>
        <w:t>REGLAMENTO DEL FONDO</w:t>
      </w:r>
      <w:r w:rsidRPr="00C85C82">
        <w:rPr>
          <w:rFonts w:ascii="HendersonSansW00-BasicLight" w:eastAsia="Garamond" w:hAnsi="HendersonSansW00-BasicLight" w:cs="Garamond"/>
        </w:rPr>
        <w:t xml:space="preserve"> y supletoriamente por lo dispuesto en la Ley General de Contratación Pública y su Reglamento. </w:t>
      </w:r>
    </w:p>
    <w:p w14:paraId="0FA19D1C"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4614ECC6" w14:textId="55EF1E3D" w:rsidR="00BD55DE" w:rsidRPr="00C85C82" w:rsidRDefault="00A33DDC" w:rsidP="00533DC0">
      <w:pPr>
        <w:numPr>
          <w:ilvl w:val="0"/>
          <w:numId w:val="9"/>
        </w:numPr>
        <w:spacing w:after="0" w:line="240" w:lineRule="auto"/>
        <w:ind w:left="360"/>
        <w:jc w:val="both"/>
        <w:rPr>
          <w:rFonts w:ascii="HendersonSansW00-BasicLight" w:eastAsia="Garamond" w:hAnsi="HendersonSansW00-BasicLight" w:cs="Garamond"/>
          <w:b/>
        </w:rPr>
      </w:pPr>
      <w:r w:rsidRPr="00C85C82">
        <w:rPr>
          <w:rFonts w:ascii="HendersonSansW00-BasicLight" w:eastAsia="Garamond" w:hAnsi="HendersonSansW00-BasicLight" w:cs="Garamond"/>
        </w:rPr>
        <w:t xml:space="preserve">La </w:t>
      </w:r>
      <w:r w:rsidRPr="00C85C82">
        <w:rPr>
          <w:rFonts w:ascii="HendersonSansW00-BasicLight" w:eastAsia="Garamond" w:hAnsi="HendersonSansW00-BasicLight" w:cs="Garamond"/>
          <w:b/>
        </w:rPr>
        <w:t>COMISIÓN CALIFICADORA</w:t>
      </w:r>
      <w:r w:rsidRPr="00C85C82">
        <w:rPr>
          <w:rFonts w:ascii="HendersonSansW00-BasicLight" w:eastAsia="Garamond" w:hAnsi="HendersonSansW00-BasicLight" w:cs="Garamond"/>
        </w:rPr>
        <w:t xml:space="preserve"> será la responsable de analizar y evaluar las ofertas de los oferentes y dictaminarán lo que corresponda. Será la encargada de llevar a cabo el procedimiento y será la encargada de proporcionar la información relacionada con este Concurso.</w:t>
      </w:r>
    </w:p>
    <w:p w14:paraId="2BCC4B36"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576E23F1" w14:textId="2232EE18" w:rsidR="00BD55DE" w:rsidRPr="00C85C82" w:rsidRDefault="00A33DDC" w:rsidP="00533DC0">
      <w:pPr>
        <w:numPr>
          <w:ilvl w:val="0"/>
          <w:numId w:val="9"/>
        </w:numPr>
        <w:spacing w:after="0" w:line="240" w:lineRule="auto"/>
        <w:ind w:left="360"/>
        <w:jc w:val="both"/>
        <w:rPr>
          <w:rFonts w:ascii="HendersonSansW00-BasicLight" w:eastAsia="Garamond" w:hAnsi="HendersonSansW00-BasicLight" w:cs="Garamond"/>
          <w:b/>
        </w:rPr>
      </w:pPr>
      <w:bookmarkStart w:id="8" w:name="_heading=h.2s8eyo1" w:colFirst="0" w:colLast="0"/>
      <w:bookmarkEnd w:id="8"/>
      <w:r w:rsidRPr="00C85C82">
        <w:rPr>
          <w:rFonts w:ascii="HendersonSansW00-BasicLight" w:eastAsia="Garamond" w:hAnsi="HendersonSansW00-BasicLight" w:cs="Garamond"/>
        </w:rPr>
        <w:t xml:space="preserve">Con base en la documentación presentada por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la </w:t>
      </w:r>
      <w:r w:rsidRPr="00C85C82">
        <w:rPr>
          <w:rFonts w:ascii="HendersonSansW00-BasicLight" w:eastAsia="Garamond" w:hAnsi="HendersonSansW00-BasicLight" w:cs="Garamond"/>
          <w:b/>
        </w:rPr>
        <w:t>COMISIÓN CALIFICADORA</w:t>
      </w:r>
      <w:r w:rsidRPr="00C85C82">
        <w:rPr>
          <w:rFonts w:ascii="HendersonSansW00-BasicLight" w:eastAsia="Garamond" w:hAnsi="HendersonSansW00-BasicLight" w:cs="Garamond"/>
        </w:rPr>
        <w:t xml:space="preserve"> les otorgará un puntaje que a su vez servirá para preseleccionar de dos a seis consultores, a los cuales oportunamente se </w:t>
      </w:r>
      <w:r w:rsidR="00273032" w:rsidRPr="00C85C82">
        <w:rPr>
          <w:rFonts w:ascii="HendersonSansW00-BasicLight" w:eastAsia="Garamond" w:hAnsi="HendersonSansW00-BasicLight" w:cs="Garamond"/>
        </w:rPr>
        <w:t>le</w:t>
      </w:r>
      <w:r w:rsidRPr="00C85C82">
        <w:rPr>
          <w:rFonts w:ascii="HendersonSansW00-BasicLight" w:eastAsia="Garamond" w:hAnsi="HendersonSansW00-BasicLight" w:cs="Garamond"/>
        </w:rPr>
        <w:t xml:space="preserve"> invita a una segunda fase del Concurso Público para presentar propuestas formales para con ellas llevar a cabo el proceso de calificación y selección final.</w:t>
      </w:r>
    </w:p>
    <w:p w14:paraId="3765BFC6"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557AE5FF" w14:textId="65F9719A" w:rsidR="00BD55DE" w:rsidRPr="00AF2B5D" w:rsidRDefault="00A33DDC" w:rsidP="00533DC0">
      <w:pPr>
        <w:numPr>
          <w:ilvl w:val="0"/>
          <w:numId w:val="9"/>
        </w:numPr>
        <w:spacing w:after="0" w:line="240" w:lineRule="auto"/>
        <w:ind w:left="360"/>
        <w:jc w:val="both"/>
        <w:rPr>
          <w:rFonts w:ascii="HendersonSansW00-BasicLight" w:eastAsia="Garamond" w:hAnsi="HendersonSansW00-BasicLight" w:cs="Garamond"/>
          <w:b/>
        </w:rPr>
      </w:pPr>
      <w:r w:rsidRPr="000C7963">
        <w:rPr>
          <w:rFonts w:ascii="HendersonSansW00-BasicLight" w:eastAsia="Garamond" w:hAnsi="HendersonSansW00-BasicLight" w:cs="Garamond"/>
        </w:rPr>
        <w:t xml:space="preserve">La </w:t>
      </w:r>
      <w:r w:rsidRPr="000C7963">
        <w:rPr>
          <w:rFonts w:ascii="HendersonSansW00-BasicLight" w:eastAsia="Garamond" w:hAnsi="HendersonSansW00-BasicLight" w:cs="Garamond"/>
          <w:b/>
        </w:rPr>
        <w:t>COMISIÓN CALIFICADORA</w:t>
      </w:r>
      <w:r w:rsidRPr="000C7963">
        <w:rPr>
          <w:rFonts w:ascii="HendersonSansW00-BasicLight" w:eastAsia="Garamond" w:hAnsi="HendersonSansW00-BasicLight" w:cs="Garamond"/>
        </w:rPr>
        <w:t xml:space="preserve"> contará con un plazo no mayor de 7 (siete) días hábiles, para preseleccionar no menos de dos (2) ni más de seis (6) oferentes, contados a partir del siguiente </w:t>
      </w:r>
      <w:r w:rsidRPr="000C7963">
        <w:rPr>
          <w:rFonts w:ascii="HendersonSansW00-BasicLight" w:eastAsia="Garamond" w:hAnsi="HendersonSansW00-BasicLight" w:cs="Garamond"/>
        </w:rPr>
        <w:lastRenderedPageBreak/>
        <w:t xml:space="preserve">día del vencimiento del plazo para la presentación de </w:t>
      </w:r>
      <w:r w:rsidRPr="000C7963">
        <w:rPr>
          <w:rFonts w:ascii="HendersonSansW00-BasicLight" w:eastAsia="Garamond" w:hAnsi="HendersonSansW00-BasicLight" w:cs="Garamond"/>
          <w:b/>
        </w:rPr>
        <w:t>ANTECEDENTES PRELIMINARES</w:t>
      </w:r>
      <w:r w:rsidRPr="000C7963">
        <w:rPr>
          <w:rFonts w:ascii="HendersonSansW00-BasicLight" w:eastAsia="Garamond" w:hAnsi="HendersonSansW00-BasicLight" w:cs="Garamond"/>
        </w:rPr>
        <w:t xml:space="preserve">, para la determinación del resultado de los </w:t>
      </w:r>
      <w:r w:rsidRPr="000C7963">
        <w:rPr>
          <w:rFonts w:ascii="HendersonSansW00-BasicLight" w:eastAsia="Garamond" w:hAnsi="HendersonSansW00-BasicLight" w:cs="Garamond"/>
          <w:b/>
        </w:rPr>
        <w:t>OFERENTES</w:t>
      </w:r>
      <w:r w:rsidRPr="000C7963">
        <w:rPr>
          <w:rFonts w:ascii="HendersonSansW00-BasicLight" w:eastAsia="Garamond" w:hAnsi="HendersonSansW00-BasicLight" w:cs="Garamond"/>
        </w:rPr>
        <w:t xml:space="preserve"> elegibles, quienes iniciarán la Segunda Etapa del concurso.</w:t>
      </w:r>
    </w:p>
    <w:p w14:paraId="6DC28DB0" w14:textId="77777777" w:rsidR="00AF2B5D" w:rsidRDefault="00AF2B5D" w:rsidP="00533DC0">
      <w:pPr>
        <w:pStyle w:val="Prrafodelista"/>
        <w:spacing w:line="240" w:lineRule="auto"/>
        <w:rPr>
          <w:rFonts w:ascii="HendersonSansW00-BasicLight" w:eastAsia="Garamond" w:hAnsi="HendersonSansW00-BasicLight" w:cs="Garamond"/>
          <w:b/>
        </w:rPr>
      </w:pPr>
    </w:p>
    <w:p w14:paraId="1FEAA3E2" w14:textId="142837C5" w:rsidR="001F7890" w:rsidRPr="00E722FE" w:rsidRDefault="001F7890" w:rsidP="00533DC0">
      <w:pPr>
        <w:spacing w:line="240" w:lineRule="auto"/>
        <w:rPr>
          <w:rFonts w:ascii="HendersonSansW00-BasicLight" w:eastAsia="Garamond" w:hAnsi="HendersonSansW00-BasicLight" w:cs="Garamond"/>
          <w:b/>
        </w:rPr>
      </w:pPr>
      <w:r w:rsidRPr="00E722FE">
        <w:rPr>
          <w:rFonts w:ascii="HendersonSansW00-BasicLight" w:eastAsia="Garamond" w:hAnsi="HendersonSansW00-BasicLight" w:cs="Garamond"/>
          <w:b/>
        </w:rPr>
        <w:t>Requisitos de Admisibilidad de</w:t>
      </w:r>
      <w:r w:rsidR="005B4D8A">
        <w:rPr>
          <w:rFonts w:ascii="HendersonSansW00-BasicLight" w:eastAsia="Garamond" w:hAnsi="HendersonSansW00-BasicLight" w:cs="Garamond"/>
          <w:b/>
        </w:rPr>
        <w:t xml:space="preserve"> los OFERENTES</w:t>
      </w:r>
    </w:p>
    <w:p w14:paraId="37E48FA7" w14:textId="2A3A5CC0" w:rsidR="002C6F57" w:rsidRPr="00C85C82" w:rsidRDefault="001F7890" w:rsidP="00533DC0">
      <w:pPr>
        <w:tabs>
          <w:tab w:val="left" w:pos="9356"/>
        </w:tabs>
        <w:spacing w:before="120" w:after="0" w:line="240" w:lineRule="auto"/>
        <w:ind w:right="6"/>
        <w:jc w:val="both"/>
        <w:rPr>
          <w:rFonts w:ascii="HendersonSansW00-BasicLight" w:eastAsia="Garamond" w:hAnsi="HendersonSansW00-BasicLight" w:cs="Garamond"/>
        </w:rPr>
      </w:pPr>
      <w:r w:rsidRPr="00C85C82">
        <w:rPr>
          <w:rFonts w:ascii="HendersonSansW00-BasicLight" w:eastAsia="Garamond" w:hAnsi="HendersonSansW00-BasicLight" w:cs="Garamond"/>
        </w:rPr>
        <w:t>La oferta deberá suministrar la información completa, que permita su análisis y estudio comparativo para efectos de adjudicación, todo en español.  En caso de que la</w:t>
      </w:r>
      <w:r w:rsidRPr="005B4D8A">
        <w:rPr>
          <w:rFonts w:ascii="HendersonSansW00-BasicLight" w:eastAsia="Garamond" w:hAnsi="HendersonSansW00-BasicLight" w:cs="Garamond"/>
          <w:b/>
          <w:bCs/>
        </w:rPr>
        <w:t xml:space="preserve"> </w:t>
      </w:r>
      <w:r w:rsidR="005B4D8A" w:rsidRPr="005B4D8A">
        <w:rPr>
          <w:rFonts w:ascii="HendersonSansW00-BasicLight" w:eastAsia="Garamond" w:hAnsi="HendersonSansW00-BasicLight" w:cs="Garamond"/>
          <w:b/>
          <w:bCs/>
        </w:rPr>
        <w:t>ADMINISTRACIÓN</w:t>
      </w:r>
      <w:r w:rsidRPr="00C85C82">
        <w:rPr>
          <w:rFonts w:ascii="HendersonSansW00-BasicLight" w:eastAsia="Garamond" w:hAnsi="HendersonSansW00-BasicLight" w:cs="Garamond"/>
        </w:rPr>
        <w:t xml:space="preserve"> tenga dudas respecto a la veracidad del documento y a las características indicadas, solicitará el correspondiente subsane y de persistir dicha duda, la oferta no será admitida a concurso.  </w:t>
      </w:r>
    </w:p>
    <w:p w14:paraId="178D2C4F" w14:textId="77777777" w:rsidR="00E7732C" w:rsidRPr="00C85C82" w:rsidRDefault="00E7732C" w:rsidP="00533DC0">
      <w:pPr>
        <w:spacing w:after="0" w:line="240" w:lineRule="auto"/>
        <w:jc w:val="both"/>
        <w:rPr>
          <w:rFonts w:ascii="HendersonSansW00-BasicLight" w:eastAsia="Garamond" w:hAnsi="HendersonSansW00-BasicLight" w:cs="Garamond"/>
        </w:rPr>
      </w:pPr>
    </w:p>
    <w:p w14:paraId="15085A68" w14:textId="05D76B8E" w:rsidR="001F5EF2" w:rsidRPr="00C85C82" w:rsidRDefault="00E722FE" w:rsidP="00533DC0">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Para la segunda etapa, el </w:t>
      </w:r>
      <w:r w:rsidR="00E7732C" w:rsidRPr="00C85C82">
        <w:rPr>
          <w:rFonts w:ascii="HendersonSansW00-BasicLight" w:eastAsia="Garamond" w:hAnsi="HendersonSansW00-BasicLight" w:cs="Garamond"/>
        </w:rPr>
        <w:t xml:space="preserve">oferente que participe </w:t>
      </w:r>
      <w:r>
        <w:rPr>
          <w:rFonts w:ascii="HendersonSansW00-BasicLight" w:eastAsia="Garamond" w:hAnsi="HendersonSansW00-BasicLight" w:cs="Garamond"/>
        </w:rPr>
        <w:t>deberá</w:t>
      </w:r>
      <w:r w:rsidR="00E7732C" w:rsidRPr="00C85C82">
        <w:rPr>
          <w:rFonts w:ascii="HendersonSansW00-BasicLight" w:eastAsia="Garamond" w:hAnsi="HendersonSansW00-BasicLight" w:cs="Garamond"/>
        </w:rPr>
        <w:t xml:space="preserve"> considerar que en la segunda etapa de este proceso deberá contar con al menos los siguientes profesionales.</w:t>
      </w:r>
    </w:p>
    <w:p w14:paraId="73190211" w14:textId="253BD816" w:rsidR="00D13CA1" w:rsidRDefault="00D13CA1" w:rsidP="00533DC0">
      <w:pPr>
        <w:spacing w:line="240" w:lineRule="auto"/>
        <w:rPr>
          <w:rFonts w:ascii="HendersonSansW00-BasicLight" w:eastAsia="Garamond" w:hAnsi="HendersonSansW00-BasicLight" w:cs="Garamond"/>
          <w:b/>
          <w:u w:val="single"/>
        </w:rPr>
      </w:pPr>
    </w:p>
    <w:p w14:paraId="790FBB03" w14:textId="4CA37BB9" w:rsidR="00BA4E0E" w:rsidRPr="00C85C82" w:rsidRDefault="0059411B" w:rsidP="00533DC0">
      <w:pPr>
        <w:tabs>
          <w:tab w:val="left" w:pos="9356"/>
        </w:tabs>
        <w:spacing w:before="120" w:after="0" w:line="240" w:lineRule="auto"/>
        <w:ind w:right="6"/>
        <w:jc w:val="both"/>
        <w:rPr>
          <w:rFonts w:ascii="HendersonSansW00-BasicLight" w:eastAsia="Garamond" w:hAnsi="HendersonSansW00-BasicLight" w:cs="Garamond"/>
          <w:b/>
          <w:u w:val="single"/>
        </w:rPr>
      </w:pPr>
      <w:r>
        <w:rPr>
          <w:rFonts w:ascii="HendersonSansW00-BasicLight" w:eastAsia="Garamond" w:hAnsi="HendersonSansW00-BasicLight" w:cs="Garamond"/>
          <w:b/>
          <w:u w:val="single"/>
        </w:rPr>
        <w:t>Equipo profesional</w:t>
      </w:r>
    </w:p>
    <w:p w14:paraId="1CA2C084" w14:textId="633AB4A9" w:rsidR="008003C2" w:rsidRPr="005B4D8A" w:rsidRDefault="00C72CB0" w:rsidP="00533DC0">
      <w:pPr>
        <w:spacing w:before="200"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El O</w:t>
      </w:r>
      <w:r w:rsidR="00A33DDC" w:rsidRPr="00C85C82">
        <w:rPr>
          <w:rFonts w:ascii="HendersonSansW00-BasicLight" w:eastAsia="Garamond" w:hAnsi="HendersonSansW00-BasicLight" w:cs="Garamond"/>
        </w:rPr>
        <w:t xml:space="preserve">ferente debe tener mínimo </w:t>
      </w:r>
      <w:r w:rsidR="00A33DDC" w:rsidRPr="005B4D8A">
        <w:rPr>
          <w:rFonts w:ascii="HendersonSansW00-BasicLight" w:eastAsia="Garamond" w:hAnsi="HendersonSansW00-BasicLight" w:cs="Garamond"/>
        </w:rPr>
        <w:t xml:space="preserve">de </w:t>
      </w:r>
      <w:r w:rsidR="0059411B" w:rsidRPr="005B4D8A">
        <w:rPr>
          <w:rFonts w:ascii="HendersonSansW00-BasicLight" w:eastAsia="Garamond" w:hAnsi="HendersonSansW00-BasicLight" w:cs="Garamond"/>
        </w:rPr>
        <w:t>diez</w:t>
      </w:r>
      <w:r w:rsidR="00A33DDC" w:rsidRPr="005B4D8A">
        <w:rPr>
          <w:rFonts w:ascii="HendersonSansW00-BasicLight" w:eastAsia="Garamond" w:hAnsi="HendersonSansW00-BasicLight" w:cs="Garamond"/>
        </w:rPr>
        <w:t xml:space="preserve"> años de constituida. Aplica de igual manera para consorcios y/o asociación de firmas, pues las firmadas consorciadas o asociadas deberán cumplir individualmente con este requisito. </w:t>
      </w:r>
    </w:p>
    <w:p w14:paraId="38942C05" w14:textId="0C29EAAD" w:rsidR="00BD55DE" w:rsidRPr="005B4D8A" w:rsidRDefault="00BD55DE" w:rsidP="00533DC0">
      <w:pPr>
        <w:spacing w:after="0" w:line="240" w:lineRule="auto"/>
        <w:jc w:val="both"/>
        <w:rPr>
          <w:rFonts w:ascii="HendersonSansW00-BasicLight" w:eastAsia="Garamond" w:hAnsi="HendersonSansW00-BasicLight" w:cs="Garamond"/>
        </w:rPr>
      </w:pPr>
    </w:p>
    <w:p w14:paraId="2B166D85" w14:textId="6B38F752" w:rsidR="001F5EF2" w:rsidRPr="00C85C82" w:rsidRDefault="001F5EF2" w:rsidP="00533DC0">
      <w:pPr>
        <w:spacing w:after="0" w:line="240" w:lineRule="auto"/>
        <w:jc w:val="both"/>
        <w:rPr>
          <w:rFonts w:ascii="HendersonSansW00-BasicLight" w:eastAsia="Garamond" w:hAnsi="HendersonSansW00-BasicLight" w:cs="Garamond"/>
        </w:rPr>
      </w:pPr>
      <w:r w:rsidRPr="005B4D8A">
        <w:rPr>
          <w:rFonts w:ascii="HendersonSansW00-BasicLight" w:eastAsia="Garamond" w:hAnsi="HendersonSansW00-BasicLight" w:cs="Garamond"/>
        </w:rPr>
        <w:t xml:space="preserve">El Equipo Consultor designado o contratado por </w:t>
      </w:r>
      <w:r w:rsidR="00C72CB0" w:rsidRPr="005B4D8A">
        <w:rPr>
          <w:rFonts w:ascii="HendersonSansW00-BasicLight" w:eastAsia="Garamond" w:hAnsi="HendersonSansW00-BasicLight" w:cs="Garamond"/>
        </w:rPr>
        <w:t xml:space="preserve">la </w:t>
      </w:r>
      <w:r w:rsidR="005B4D8A" w:rsidRPr="005B4D8A">
        <w:rPr>
          <w:rFonts w:ascii="HendersonSansW00-BasicLight" w:eastAsia="Garamond" w:hAnsi="HendersonSansW00-BasicLight" w:cs="Garamond"/>
          <w:b/>
          <w:bCs/>
        </w:rPr>
        <w:t>ADMINISTRACIÓN</w:t>
      </w:r>
      <w:r w:rsidRPr="00C85C82">
        <w:rPr>
          <w:rFonts w:ascii="HendersonSansW00-BasicLight" w:eastAsia="Garamond" w:hAnsi="HendersonSansW00-BasicLight" w:cs="Garamond"/>
        </w:rPr>
        <w:t xml:space="preserve"> se conformará de manera multidisciplinaria y puede contar con la participación de profesionales en los siguientes campos, entre otros: </w:t>
      </w:r>
    </w:p>
    <w:p w14:paraId="16745818" w14:textId="77777777" w:rsidR="001F5EF2" w:rsidRPr="00C85C82" w:rsidRDefault="001F5EF2" w:rsidP="00533DC0">
      <w:pPr>
        <w:spacing w:after="0" w:line="240" w:lineRule="auto"/>
        <w:jc w:val="both"/>
        <w:rPr>
          <w:rFonts w:ascii="HendersonSansW00-BasicLight" w:eastAsia="Garamond" w:hAnsi="HendersonSansW00-BasicLight" w:cs="Garamond"/>
        </w:rPr>
      </w:pPr>
    </w:p>
    <w:p w14:paraId="1D591D29" w14:textId="71D291FB" w:rsidR="00216D92" w:rsidRDefault="001F5EF2" w:rsidP="001F666B">
      <w:pPr>
        <w:pStyle w:val="Prrafodelista"/>
        <w:numPr>
          <w:ilvl w:val="0"/>
          <w:numId w:val="13"/>
        </w:numPr>
        <w:spacing w:after="0" w:line="240" w:lineRule="auto"/>
        <w:jc w:val="both"/>
        <w:rPr>
          <w:rFonts w:ascii="HendersonSansW00-BasicLight" w:eastAsia="Garamond" w:hAnsi="HendersonSansW00-BasicLight" w:cs="Garamond"/>
        </w:rPr>
      </w:pPr>
      <w:r w:rsidRPr="00747C3C">
        <w:rPr>
          <w:rFonts w:ascii="HendersonSansW00-BasicLight" w:eastAsia="Garamond" w:hAnsi="HendersonSansW00-BasicLight" w:cs="Garamond"/>
        </w:rPr>
        <w:t>Ingeniería Civil</w:t>
      </w:r>
      <w:r w:rsidR="00216D92">
        <w:rPr>
          <w:rFonts w:ascii="HendersonSansW00-BasicLight" w:eastAsia="Garamond" w:hAnsi="HendersonSansW00-BasicLight" w:cs="Garamond"/>
        </w:rPr>
        <w:t xml:space="preserve"> </w:t>
      </w:r>
    </w:p>
    <w:p w14:paraId="3BDD8FC9" w14:textId="77927340" w:rsidR="00216D92" w:rsidRDefault="00216D92" w:rsidP="001F666B">
      <w:pPr>
        <w:pStyle w:val="Prrafodelista"/>
        <w:numPr>
          <w:ilvl w:val="0"/>
          <w:numId w:val="13"/>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Ingeniería en </w:t>
      </w:r>
      <w:r w:rsidR="001F5EF2" w:rsidRPr="00747C3C">
        <w:rPr>
          <w:rFonts w:ascii="HendersonSansW00-BasicLight" w:eastAsia="Garamond" w:hAnsi="HendersonSansW00-BasicLight" w:cs="Garamond"/>
        </w:rPr>
        <w:t>Construcción</w:t>
      </w:r>
    </w:p>
    <w:p w14:paraId="68C6A76B" w14:textId="57745C3E" w:rsidR="00C72CB0" w:rsidRDefault="00C72CB0" w:rsidP="001F666B">
      <w:pPr>
        <w:pStyle w:val="Prrafodelista"/>
        <w:numPr>
          <w:ilvl w:val="0"/>
          <w:numId w:val="13"/>
        </w:numPr>
        <w:spacing w:after="0" w:line="240" w:lineRule="auto"/>
        <w:jc w:val="both"/>
        <w:rPr>
          <w:rFonts w:ascii="HendersonSansW00-BasicLight" w:eastAsia="Garamond" w:hAnsi="HendersonSansW00-BasicLight" w:cs="Garamond"/>
        </w:rPr>
      </w:pPr>
      <w:r w:rsidRPr="000064F6">
        <w:rPr>
          <w:rFonts w:ascii="HendersonSansW00-BasicLight" w:eastAsia="Garamond" w:hAnsi="HendersonSansW00-BasicLight" w:cs="Garamond"/>
        </w:rPr>
        <w:t>Ingeniería Topográfica</w:t>
      </w:r>
    </w:p>
    <w:p w14:paraId="4D911F4B" w14:textId="557170AB" w:rsidR="00216D92" w:rsidRPr="000064F6" w:rsidRDefault="00216D92" w:rsidP="001F666B">
      <w:pPr>
        <w:pStyle w:val="Prrafodelista"/>
        <w:numPr>
          <w:ilvl w:val="0"/>
          <w:numId w:val="13"/>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Ingeniería Agrícola</w:t>
      </w:r>
    </w:p>
    <w:p w14:paraId="2ABF47DD" w14:textId="77777777" w:rsidR="000064F6" w:rsidRPr="000064F6" w:rsidRDefault="001F5EF2" w:rsidP="001F666B">
      <w:pPr>
        <w:pStyle w:val="Prrafodelista"/>
        <w:numPr>
          <w:ilvl w:val="0"/>
          <w:numId w:val="13"/>
        </w:numPr>
        <w:spacing w:after="0" w:line="240" w:lineRule="auto"/>
        <w:jc w:val="both"/>
        <w:rPr>
          <w:rFonts w:ascii="HendersonSansW00-BasicLight" w:eastAsia="Garamond" w:hAnsi="HendersonSansW00-BasicLight" w:cs="Garamond"/>
        </w:rPr>
      </w:pPr>
      <w:r w:rsidRPr="000064F6">
        <w:rPr>
          <w:rFonts w:ascii="HendersonSansW00-BasicLight" w:eastAsia="Garamond" w:hAnsi="HendersonSansW00-BasicLight" w:cs="Garamond"/>
        </w:rPr>
        <w:t>Ingeniería Electromecánica</w:t>
      </w:r>
    </w:p>
    <w:p w14:paraId="67BA1EB0" w14:textId="721A3289" w:rsidR="000064F6" w:rsidRPr="000064F6" w:rsidRDefault="000064F6" w:rsidP="001F666B">
      <w:pPr>
        <w:pStyle w:val="Prrafodelista"/>
        <w:numPr>
          <w:ilvl w:val="0"/>
          <w:numId w:val="13"/>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Geología</w:t>
      </w:r>
    </w:p>
    <w:p w14:paraId="191A3277" w14:textId="4D6CE42A" w:rsidR="001F5EF2" w:rsidRDefault="001F5EF2" w:rsidP="001F666B">
      <w:pPr>
        <w:pStyle w:val="Prrafodelista"/>
        <w:numPr>
          <w:ilvl w:val="0"/>
          <w:numId w:val="13"/>
        </w:numPr>
        <w:spacing w:after="0" w:line="240" w:lineRule="auto"/>
        <w:jc w:val="both"/>
        <w:rPr>
          <w:rFonts w:ascii="HendersonSansW00-BasicLight" w:eastAsia="Garamond" w:hAnsi="HendersonSansW00-BasicLight" w:cs="Garamond"/>
        </w:rPr>
      </w:pPr>
      <w:r w:rsidRPr="00747C3C">
        <w:rPr>
          <w:rFonts w:ascii="HendersonSansW00-BasicLight" w:eastAsia="Garamond" w:hAnsi="HendersonSansW00-BasicLight" w:cs="Garamond"/>
        </w:rPr>
        <w:t xml:space="preserve">Personal de apoyo (asistente administrativo, dibujantes, </w:t>
      </w:r>
      <w:r w:rsidR="006F31BB">
        <w:rPr>
          <w:rFonts w:ascii="HendersonSansW00-BasicLight" w:eastAsia="Garamond" w:hAnsi="HendersonSansW00-BasicLight" w:cs="Garamond"/>
        </w:rPr>
        <w:t>geógrafos</w:t>
      </w:r>
      <w:r w:rsidR="00C46003">
        <w:rPr>
          <w:rFonts w:ascii="HendersonSansW00-BasicLight" w:eastAsia="Garamond" w:hAnsi="HendersonSansW00-BasicLight" w:cs="Garamond"/>
        </w:rPr>
        <w:t xml:space="preserve">, </w:t>
      </w:r>
      <w:r w:rsidRPr="00747C3C">
        <w:rPr>
          <w:rFonts w:ascii="HendersonSansW00-BasicLight" w:eastAsia="Garamond" w:hAnsi="HendersonSansW00-BasicLight" w:cs="Garamond"/>
        </w:rPr>
        <w:t>personal</w:t>
      </w:r>
      <w:r w:rsidR="00747C3C" w:rsidRPr="00747C3C">
        <w:rPr>
          <w:rFonts w:ascii="HendersonSansW00-BasicLight" w:eastAsia="Garamond" w:hAnsi="HendersonSansW00-BasicLight" w:cs="Garamond"/>
        </w:rPr>
        <w:t xml:space="preserve"> </w:t>
      </w:r>
      <w:r w:rsidRPr="00747C3C">
        <w:rPr>
          <w:rFonts w:ascii="HendersonSansW00-BasicLight" w:eastAsia="Garamond" w:hAnsi="HendersonSansW00-BasicLight" w:cs="Garamond"/>
        </w:rPr>
        <w:t>p</w:t>
      </w:r>
      <w:r w:rsidR="000064F6">
        <w:rPr>
          <w:rFonts w:ascii="HendersonSansW00-BasicLight" w:eastAsia="Garamond" w:hAnsi="HendersonSansW00-BasicLight" w:cs="Garamond"/>
        </w:rPr>
        <w:t>ara mediciones y levantamiento</w:t>
      </w:r>
      <w:r w:rsidR="00982727">
        <w:rPr>
          <w:rFonts w:ascii="HendersonSansW00-BasicLight" w:eastAsia="Garamond" w:hAnsi="HendersonSansW00-BasicLight" w:cs="Garamond"/>
        </w:rPr>
        <w:t>s</w:t>
      </w:r>
      <w:r w:rsidR="000064F6">
        <w:rPr>
          <w:rFonts w:ascii="HendersonSansW00-BasicLight" w:eastAsia="Garamond" w:hAnsi="HendersonSansW00-BasicLight" w:cs="Garamond"/>
        </w:rPr>
        <w:t>).</w:t>
      </w:r>
    </w:p>
    <w:p w14:paraId="17351667" w14:textId="6E106F40" w:rsidR="004C4387" w:rsidRDefault="004C4387" w:rsidP="00533DC0">
      <w:pPr>
        <w:spacing w:after="0" w:line="240" w:lineRule="auto"/>
        <w:jc w:val="both"/>
        <w:rPr>
          <w:rFonts w:ascii="HendersonSansW00-BasicLight" w:eastAsia="Garamond" w:hAnsi="HendersonSansW00-BasicLight" w:cs="Garamond"/>
        </w:rPr>
      </w:pPr>
    </w:p>
    <w:p w14:paraId="5BB195B1" w14:textId="618E66E9" w:rsidR="00B52A7C" w:rsidRPr="004C4387" w:rsidRDefault="004C4387" w:rsidP="00533DC0">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Los profesionales deben tener grado mínimo de Bachiller Universitario y 5 años de experiencia profesional. Cada uno deberá presentar una </w:t>
      </w:r>
      <w:r w:rsidR="00B52A7C" w:rsidRPr="004C4387">
        <w:rPr>
          <w:rFonts w:ascii="HendersonSansW00-BasicLight" w:eastAsia="Garamond" w:hAnsi="HendersonSansW00-BasicLight" w:cs="Garamond"/>
        </w:rPr>
        <w:t xml:space="preserve">certificación </w:t>
      </w:r>
      <w:r w:rsidRPr="004C4387">
        <w:rPr>
          <w:rFonts w:ascii="HendersonSansW00-BasicLight" w:eastAsia="Garamond" w:hAnsi="HendersonSansW00-BasicLight" w:cs="Garamond"/>
        </w:rPr>
        <w:t>de estar al d</w:t>
      </w:r>
      <w:r>
        <w:rPr>
          <w:rFonts w:ascii="HendersonSansW00-BasicLight" w:eastAsia="Garamond" w:hAnsi="HendersonSansW00-BasicLight" w:cs="Garamond"/>
        </w:rPr>
        <w:t xml:space="preserve">ía en el pago de su </w:t>
      </w:r>
      <w:r w:rsidR="00A03FA6">
        <w:rPr>
          <w:rFonts w:ascii="HendersonSansW00-BasicLight" w:eastAsia="Garamond" w:hAnsi="HendersonSansW00-BasicLight" w:cs="Garamond"/>
        </w:rPr>
        <w:t>colegiatura del</w:t>
      </w:r>
      <w:r w:rsidR="00B52A7C" w:rsidRPr="004C4387">
        <w:rPr>
          <w:rFonts w:ascii="HendersonSansW00-BasicLight" w:eastAsia="Garamond" w:hAnsi="HendersonSansW00-BasicLight" w:cs="Garamond"/>
        </w:rPr>
        <w:t xml:space="preserve"> Colegio Federado de Ingenieros y Arquitectos de Costa Rica (CFIA) o del colegio co</w:t>
      </w:r>
      <w:r>
        <w:rPr>
          <w:rFonts w:ascii="HendersonSansW00-BasicLight" w:eastAsia="Garamond" w:hAnsi="HendersonSansW00-BasicLight" w:cs="Garamond"/>
        </w:rPr>
        <w:t>rrespondiente.</w:t>
      </w:r>
    </w:p>
    <w:p w14:paraId="48847193" w14:textId="77777777" w:rsidR="00B52A7C" w:rsidRDefault="00B52A7C" w:rsidP="00533DC0">
      <w:pPr>
        <w:pStyle w:val="Prrafodelista"/>
        <w:spacing w:after="0" w:line="240" w:lineRule="auto"/>
        <w:ind w:left="360"/>
        <w:jc w:val="both"/>
        <w:rPr>
          <w:rFonts w:ascii="HendersonSansW00-BasicLight" w:eastAsia="Garamond" w:hAnsi="HendersonSansW00-BasicLight" w:cs="Garamond"/>
        </w:rPr>
      </w:pPr>
    </w:p>
    <w:p w14:paraId="34CE9718" w14:textId="07F45945" w:rsidR="003942B5" w:rsidRPr="003942B5" w:rsidRDefault="003942B5" w:rsidP="00533DC0">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Para los componentes del Estudio T</w:t>
      </w:r>
      <w:r w:rsidRPr="003942B5">
        <w:rPr>
          <w:rFonts w:ascii="HendersonSansW00-BasicLight" w:eastAsia="Garamond" w:hAnsi="HendersonSansW00-BasicLight" w:cs="Garamond"/>
        </w:rPr>
        <w:t xml:space="preserve">écnico </w:t>
      </w:r>
      <w:r>
        <w:rPr>
          <w:rFonts w:ascii="HendersonSansW00-BasicLight" w:eastAsia="Garamond" w:hAnsi="HendersonSansW00-BasicLight" w:cs="Garamond"/>
        </w:rPr>
        <w:t>deber ser</w:t>
      </w:r>
      <w:r w:rsidRPr="003942B5">
        <w:rPr>
          <w:rFonts w:ascii="HendersonSansW00-BasicLight" w:eastAsia="Garamond" w:hAnsi="HendersonSansW00-BasicLight" w:cs="Garamond"/>
        </w:rPr>
        <w:t xml:space="preserve"> elaborados por profesionales incorporados al Colegio Federado de Ingenieros y de Arquitectos de Costa Rica (CFIA), se deberá cumplir con el registro de la responsabilidad profesional en el sistema APC, para cada una de las fases que componen el ciclo de vida del proyecto, según el </w:t>
      </w:r>
      <w:r w:rsidRPr="003942B5">
        <w:rPr>
          <w:rFonts w:ascii="HendersonSansW00-BasicLight" w:eastAsia="Garamond" w:hAnsi="HendersonSansW00-BasicLight" w:cs="Garamond"/>
          <w:i/>
        </w:rPr>
        <w:t>Reglamento para la Contratación de Servicios de Consultoría en Ingeniería y Arquitectura.</w:t>
      </w:r>
      <w:r w:rsidRPr="003942B5">
        <w:rPr>
          <w:rFonts w:ascii="HendersonSansW00-BasicLight" w:eastAsia="Garamond" w:hAnsi="HendersonSansW00-BasicLight" w:cs="Garamond"/>
        </w:rPr>
        <w:t xml:space="preserve"> </w:t>
      </w:r>
    </w:p>
    <w:p w14:paraId="74874CBB" w14:textId="77777777" w:rsidR="003942B5" w:rsidRPr="003942B5" w:rsidRDefault="003942B5" w:rsidP="00533DC0">
      <w:pPr>
        <w:spacing w:after="0" w:line="240" w:lineRule="auto"/>
        <w:jc w:val="both"/>
        <w:rPr>
          <w:rFonts w:ascii="HendersonSansW00-BasicLight" w:eastAsia="Garamond" w:hAnsi="HendersonSansW00-BasicLight" w:cs="Garamond"/>
        </w:rPr>
      </w:pPr>
    </w:p>
    <w:p w14:paraId="05979A0C" w14:textId="77777777" w:rsidR="003942B5" w:rsidRPr="003942B5" w:rsidRDefault="003942B5" w:rsidP="00533DC0">
      <w:pPr>
        <w:spacing w:after="0" w:line="240" w:lineRule="auto"/>
        <w:jc w:val="both"/>
        <w:rPr>
          <w:rFonts w:ascii="HendersonSansW00-BasicLight" w:eastAsia="Garamond" w:hAnsi="HendersonSansW00-BasicLight" w:cs="Garamond"/>
        </w:rPr>
      </w:pPr>
      <w:r w:rsidRPr="003942B5">
        <w:rPr>
          <w:rFonts w:ascii="HendersonSansW00-BasicLight" w:eastAsia="Garamond" w:hAnsi="HendersonSansW00-BasicLight" w:cs="Garamond"/>
        </w:rPr>
        <w:t xml:space="preserve">En el caso de los estudios hidrogeológicos deben ser elaborados por profesionales incorporados en el Colegio de Geólogos de Costa Rica y contar con el aval del SENARA. </w:t>
      </w:r>
    </w:p>
    <w:p w14:paraId="23FD786E" w14:textId="77777777" w:rsidR="003942B5" w:rsidRPr="003942B5" w:rsidRDefault="003942B5" w:rsidP="00533DC0">
      <w:pPr>
        <w:spacing w:after="0" w:line="240" w:lineRule="auto"/>
        <w:jc w:val="both"/>
        <w:rPr>
          <w:rFonts w:ascii="HendersonSansW00-BasicLight" w:eastAsia="Garamond" w:hAnsi="HendersonSansW00-BasicLight" w:cs="Garamond"/>
        </w:rPr>
      </w:pPr>
    </w:p>
    <w:p w14:paraId="4E01E508" w14:textId="77777777" w:rsidR="003942B5" w:rsidRPr="003942B5" w:rsidRDefault="003942B5" w:rsidP="00533DC0">
      <w:pPr>
        <w:spacing w:after="0" w:line="240" w:lineRule="auto"/>
        <w:jc w:val="both"/>
        <w:rPr>
          <w:rFonts w:ascii="HendersonSansW00-BasicLight" w:eastAsia="Garamond" w:hAnsi="HendersonSansW00-BasicLight" w:cs="Garamond"/>
        </w:rPr>
      </w:pPr>
      <w:r w:rsidRPr="003942B5">
        <w:rPr>
          <w:rFonts w:ascii="HendersonSansW00-BasicLight" w:eastAsia="Garamond" w:hAnsi="HendersonSansW00-BasicLight" w:cs="Garamond"/>
        </w:rPr>
        <w:lastRenderedPageBreak/>
        <w:t xml:space="preserve">Para los servicios de agrimensura, topografía e ingeniería topográfica de debe aplicar todo lo estipulado en el decreto ejecutivo No. 17481-MOPT sobre el </w:t>
      </w:r>
      <w:r w:rsidRPr="00114FD3">
        <w:rPr>
          <w:rFonts w:ascii="HendersonSansW00-BasicLight" w:eastAsia="Garamond" w:hAnsi="HendersonSansW00-BasicLight" w:cs="Garamond"/>
          <w:i/>
        </w:rPr>
        <w:t>Reglamento de Tarifas de Honorarios para los Profesionales de Agrimensura, Topografía e Ingeniería Topográfica</w:t>
      </w:r>
      <w:r w:rsidRPr="003942B5">
        <w:rPr>
          <w:rFonts w:ascii="HendersonSansW00-BasicLight" w:eastAsia="Garamond" w:hAnsi="HendersonSansW00-BasicLight" w:cs="Garamond"/>
        </w:rPr>
        <w:t xml:space="preserve">. </w:t>
      </w:r>
    </w:p>
    <w:p w14:paraId="39BC5247" w14:textId="77777777" w:rsidR="003942B5" w:rsidRPr="003942B5" w:rsidRDefault="003942B5" w:rsidP="00533DC0">
      <w:pPr>
        <w:spacing w:after="0" w:line="240" w:lineRule="auto"/>
        <w:jc w:val="both"/>
        <w:rPr>
          <w:rFonts w:ascii="HendersonSansW00-BasicLight" w:eastAsia="Garamond" w:hAnsi="HendersonSansW00-BasicLight" w:cs="Garamond"/>
        </w:rPr>
      </w:pPr>
    </w:p>
    <w:p w14:paraId="08AD36A1" w14:textId="38F3A6AA" w:rsidR="003942B5" w:rsidRDefault="003942B5" w:rsidP="00533DC0">
      <w:pPr>
        <w:spacing w:after="0" w:line="240" w:lineRule="auto"/>
        <w:jc w:val="both"/>
        <w:rPr>
          <w:rFonts w:ascii="HendersonSansW00-BasicLight" w:eastAsia="Garamond" w:hAnsi="HendersonSansW00-BasicLight" w:cs="Garamond"/>
        </w:rPr>
      </w:pPr>
      <w:r w:rsidRPr="003942B5">
        <w:rPr>
          <w:rFonts w:ascii="HendersonSansW00-BasicLight" w:eastAsia="Garamond" w:hAnsi="HendersonSansW00-BasicLight" w:cs="Garamond"/>
        </w:rPr>
        <w:t>En el caso de sistemas de tratamiento de agua, que además de procesos físicos requieran la aplicación de procesos químicos, se requerirá el diseño por parte de un profesional competente en esta área.</w:t>
      </w:r>
    </w:p>
    <w:p w14:paraId="764D8AF7" w14:textId="6CA7DF0C" w:rsidR="001D0363" w:rsidRDefault="001D0363" w:rsidP="00533DC0">
      <w:pPr>
        <w:spacing w:after="0" w:line="240" w:lineRule="auto"/>
        <w:jc w:val="both"/>
        <w:rPr>
          <w:rFonts w:ascii="HendersonSansW00-BasicLight" w:eastAsia="Garamond" w:hAnsi="HendersonSansW00-BasicLight" w:cs="Garamond"/>
        </w:rPr>
      </w:pPr>
    </w:p>
    <w:tbl>
      <w:tblPr>
        <w:tblStyle w:val="Tablaconcuadrcula"/>
        <w:tblW w:w="8784" w:type="dxa"/>
        <w:tblLayout w:type="fixed"/>
        <w:tblLook w:val="04A0" w:firstRow="1" w:lastRow="0" w:firstColumn="1" w:lastColumn="0" w:noHBand="0" w:noVBand="1"/>
      </w:tblPr>
      <w:tblGrid>
        <w:gridCol w:w="1271"/>
        <w:gridCol w:w="567"/>
        <w:gridCol w:w="1157"/>
        <w:gridCol w:w="1158"/>
        <w:gridCol w:w="1158"/>
        <w:gridCol w:w="1157"/>
        <w:gridCol w:w="1158"/>
        <w:gridCol w:w="1158"/>
      </w:tblGrid>
      <w:tr w:rsidR="00AD1BA9" w14:paraId="3624682E" w14:textId="77777777" w:rsidTr="006749F1">
        <w:tc>
          <w:tcPr>
            <w:tcW w:w="1271" w:type="dxa"/>
          </w:tcPr>
          <w:p w14:paraId="15087590" w14:textId="61326954" w:rsidR="00AD1BA9" w:rsidRPr="00AD1BA9" w:rsidRDefault="00AD1BA9" w:rsidP="00533DC0">
            <w:pPr>
              <w:jc w:val="center"/>
              <w:rPr>
                <w:rFonts w:ascii="HendersonSansW00-BasicLight" w:eastAsia="Garamond" w:hAnsi="HendersonSansW00-BasicLight" w:cs="Garamond"/>
                <w:b/>
              </w:rPr>
            </w:pPr>
            <w:r w:rsidRPr="00AD1BA9">
              <w:rPr>
                <w:rFonts w:ascii="HendersonSansW00-BasicLight" w:eastAsia="Garamond" w:hAnsi="HendersonSansW00-BasicLight" w:cs="Garamond"/>
                <w:b/>
              </w:rPr>
              <w:t>Perfil</w:t>
            </w:r>
          </w:p>
        </w:tc>
        <w:tc>
          <w:tcPr>
            <w:tcW w:w="7513" w:type="dxa"/>
            <w:gridSpan w:val="7"/>
          </w:tcPr>
          <w:p w14:paraId="42CC63FB" w14:textId="7D93AAEC" w:rsidR="00AD1BA9" w:rsidRPr="00AD1BA9" w:rsidRDefault="00AD1BA9" w:rsidP="00533DC0">
            <w:pPr>
              <w:jc w:val="center"/>
              <w:rPr>
                <w:rFonts w:ascii="HendersonSansW00-BasicLight" w:eastAsia="Garamond" w:hAnsi="HendersonSansW00-BasicLight" w:cs="Garamond"/>
                <w:b/>
              </w:rPr>
            </w:pPr>
            <w:r w:rsidRPr="00AD1BA9">
              <w:rPr>
                <w:rFonts w:ascii="HendersonSansW00-BasicLight" w:eastAsia="Garamond" w:hAnsi="HendersonSansW00-BasicLight" w:cs="Garamond"/>
                <w:b/>
              </w:rPr>
              <w:t>Calidades</w:t>
            </w:r>
            <w:r>
              <w:rPr>
                <w:rFonts w:ascii="HendersonSansW00-BasicLight" w:eastAsia="Garamond" w:hAnsi="HendersonSansW00-BasicLight" w:cs="Garamond"/>
                <w:b/>
              </w:rPr>
              <w:t xml:space="preserve"> mínimas</w:t>
            </w:r>
          </w:p>
        </w:tc>
      </w:tr>
      <w:tr w:rsidR="009471C6" w14:paraId="4381B8E9" w14:textId="77777777" w:rsidTr="006749F1">
        <w:tc>
          <w:tcPr>
            <w:tcW w:w="1271" w:type="dxa"/>
            <w:vMerge w:val="restart"/>
            <w:vAlign w:val="center"/>
          </w:tcPr>
          <w:p w14:paraId="2DBD77F1" w14:textId="70812FE7" w:rsidR="009471C6" w:rsidRPr="00CA3B09" w:rsidRDefault="009471C6" w:rsidP="00533DC0">
            <w:pPr>
              <w:jc w:val="center"/>
              <w:rPr>
                <w:rFonts w:ascii="HendersonSansW00-BasicLight" w:eastAsia="Garamond" w:hAnsi="HendersonSansW00-BasicLight" w:cs="Garamond"/>
                <w:sz w:val="16"/>
                <w:szCs w:val="16"/>
              </w:rPr>
            </w:pPr>
            <w:r>
              <w:rPr>
                <w:rFonts w:ascii="HendersonSansW00-BasicLight" w:eastAsia="Garamond" w:hAnsi="HendersonSansW00-BasicLight" w:cs="Garamond"/>
                <w:sz w:val="16"/>
                <w:szCs w:val="16"/>
              </w:rPr>
              <w:t xml:space="preserve">Profesional </w:t>
            </w:r>
          </w:p>
        </w:tc>
        <w:tc>
          <w:tcPr>
            <w:tcW w:w="7513" w:type="dxa"/>
            <w:gridSpan w:val="7"/>
            <w:vAlign w:val="center"/>
          </w:tcPr>
          <w:p w14:paraId="047AE69E" w14:textId="3C39E300" w:rsidR="009471C6" w:rsidRDefault="009471C6" w:rsidP="00533DC0">
            <w:pPr>
              <w:jc w:val="both"/>
              <w:rPr>
                <w:rFonts w:ascii="HendersonSansW00-BasicLight" w:eastAsia="Garamond" w:hAnsi="HendersonSansW00-BasicLight" w:cs="Garamond"/>
                <w:sz w:val="16"/>
                <w:szCs w:val="16"/>
              </w:rPr>
            </w:pPr>
            <w:r w:rsidRPr="00C46003">
              <w:rPr>
                <w:rFonts w:ascii="HendersonSansW00-BasicLight" w:eastAsia="Garamond" w:hAnsi="HendersonSansW00-BasicLight" w:cs="Garamond"/>
                <w:b/>
                <w:sz w:val="16"/>
                <w:szCs w:val="16"/>
              </w:rPr>
              <w:t xml:space="preserve">Requisitos técnicos: </w:t>
            </w:r>
          </w:p>
          <w:p w14:paraId="13C653D7" w14:textId="20718C0C" w:rsidR="009471C6" w:rsidRPr="006749F1" w:rsidRDefault="009471C6" w:rsidP="00533DC0">
            <w:pPr>
              <w:pStyle w:val="Prrafodelista"/>
              <w:numPr>
                <w:ilvl w:val="1"/>
                <w:numId w:val="9"/>
              </w:numPr>
              <w:jc w:val="both"/>
              <w:rPr>
                <w:rFonts w:ascii="HendersonSansW00-BasicLight" w:eastAsia="Garamond" w:hAnsi="HendersonSansW00-BasicLight" w:cs="Garamond"/>
                <w:b/>
                <w:sz w:val="16"/>
                <w:szCs w:val="16"/>
              </w:rPr>
            </w:pPr>
            <w:r w:rsidRPr="006749F1">
              <w:rPr>
                <w:rFonts w:ascii="HendersonSansW00-BasicLight" w:eastAsia="Garamond" w:hAnsi="HendersonSansW00-BasicLight" w:cs="Garamond"/>
                <w:b/>
                <w:sz w:val="16"/>
                <w:szCs w:val="16"/>
              </w:rPr>
              <w:t xml:space="preserve">Estudio similar: </w:t>
            </w:r>
            <w:r w:rsidRPr="006749F1">
              <w:rPr>
                <w:rFonts w:ascii="HendersonSansW00-BasicLight" w:eastAsia="Garamond" w:hAnsi="HendersonSansW00-BasicLight" w:cs="Garamond"/>
                <w:sz w:val="16"/>
                <w:szCs w:val="16"/>
              </w:rPr>
              <w:t xml:space="preserve">Se entenderá por estudio similar todo aquel realizado en infraestructura de acueducto con todos sus ramales desde las fuentes hasta las redes de distribución.  </w:t>
            </w:r>
          </w:p>
          <w:p w14:paraId="554E9A49" w14:textId="3CE05720" w:rsidR="009471C6" w:rsidRPr="003D242E" w:rsidRDefault="009471C6" w:rsidP="00533DC0">
            <w:pPr>
              <w:pStyle w:val="Prrafodelista"/>
              <w:numPr>
                <w:ilvl w:val="1"/>
                <w:numId w:val="9"/>
              </w:numPr>
              <w:jc w:val="both"/>
              <w:rPr>
                <w:rFonts w:ascii="HendersonSansW00-BasicLight" w:eastAsia="Garamond" w:hAnsi="HendersonSansW00-BasicLight" w:cs="Garamond"/>
                <w:b/>
                <w:sz w:val="16"/>
                <w:szCs w:val="16"/>
              </w:rPr>
            </w:pPr>
            <w:r w:rsidRPr="006749F1">
              <w:rPr>
                <w:rFonts w:ascii="HendersonSansW00-BasicLight" w:eastAsia="Garamond" w:hAnsi="HendersonSansW00-BasicLight" w:cs="Garamond"/>
                <w:b/>
                <w:sz w:val="16"/>
                <w:szCs w:val="16"/>
              </w:rPr>
              <w:t xml:space="preserve">Lista de estudios: </w:t>
            </w:r>
            <w:r w:rsidRPr="006749F1">
              <w:rPr>
                <w:rFonts w:ascii="HendersonSansW00-BasicLight" w:eastAsia="Garamond" w:hAnsi="HendersonSansW00-BasicLight" w:cs="Garamond"/>
                <w:sz w:val="16"/>
                <w:szCs w:val="16"/>
              </w:rPr>
              <w:t xml:space="preserve">Las ofertas incluirán una lista </w:t>
            </w:r>
            <w:r>
              <w:rPr>
                <w:rFonts w:ascii="HendersonSansW00-BasicLight" w:eastAsia="Garamond" w:hAnsi="HendersonSansW00-BasicLight" w:cs="Garamond"/>
                <w:sz w:val="16"/>
                <w:szCs w:val="16"/>
              </w:rPr>
              <w:t>de mínimo 3</w:t>
            </w:r>
            <w:r w:rsidRPr="006749F1">
              <w:rPr>
                <w:rFonts w:ascii="HendersonSansW00-BasicLight" w:eastAsia="Garamond" w:hAnsi="HendersonSansW00-BasicLight" w:cs="Garamond"/>
                <w:sz w:val="16"/>
                <w:szCs w:val="16"/>
              </w:rPr>
              <w:t xml:space="preserve"> estudios técnicos que hayan sido realizados por el Oferente y hayan sido avalados por el AyA en los últimos 10 años a partir de la fecha definida para la apertura de las ofertas. Se deberá aportar el oficio de aprobación del Estudio Técnico por parte del AyA. Se deberá completar la siguiente tabla:</w:t>
            </w:r>
          </w:p>
        </w:tc>
      </w:tr>
      <w:tr w:rsidR="009471C6" w14:paraId="48E221A1" w14:textId="77777777" w:rsidTr="006749F1">
        <w:tc>
          <w:tcPr>
            <w:tcW w:w="1271" w:type="dxa"/>
            <w:vMerge/>
          </w:tcPr>
          <w:p w14:paraId="629FAD0A" w14:textId="77777777" w:rsidR="009471C6" w:rsidRDefault="009471C6" w:rsidP="00533DC0">
            <w:pPr>
              <w:jc w:val="both"/>
              <w:rPr>
                <w:rFonts w:ascii="HendersonSansW00-BasicLight" w:eastAsia="Garamond" w:hAnsi="HendersonSansW00-BasicLight" w:cs="Garamond"/>
              </w:rPr>
            </w:pPr>
          </w:p>
        </w:tc>
        <w:tc>
          <w:tcPr>
            <w:tcW w:w="7513" w:type="dxa"/>
            <w:gridSpan w:val="7"/>
          </w:tcPr>
          <w:p w14:paraId="1DD67F66" w14:textId="4DDAA456" w:rsidR="009471C6" w:rsidRPr="00AD1BA9" w:rsidRDefault="009471C6" w:rsidP="00533DC0">
            <w:pPr>
              <w:jc w:val="center"/>
              <w:rPr>
                <w:rFonts w:ascii="HendersonSansW00-BasicLight" w:eastAsia="Garamond" w:hAnsi="HendersonSansW00-BasicLight" w:cs="Garamond"/>
                <w:b/>
              </w:rPr>
            </w:pPr>
            <w:r w:rsidRPr="00AD1BA9">
              <w:rPr>
                <w:rFonts w:ascii="HendersonSansW00-BasicLight" w:eastAsia="Garamond" w:hAnsi="HendersonSansW00-BasicLight" w:cs="Garamond"/>
                <w:b/>
              </w:rPr>
              <w:t xml:space="preserve">EXPERIENCIA </w:t>
            </w:r>
            <w:r>
              <w:rPr>
                <w:rFonts w:ascii="HendersonSansW00-BasicLight" w:eastAsia="Garamond" w:hAnsi="HendersonSansW00-BasicLight" w:cs="Garamond"/>
                <w:b/>
              </w:rPr>
              <w:t>DE LA EMPRESA OFERENTE</w:t>
            </w:r>
          </w:p>
        </w:tc>
      </w:tr>
      <w:tr w:rsidR="009471C6" w14:paraId="1FAE0DCB" w14:textId="77777777" w:rsidTr="006749F1">
        <w:tc>
          <w:tcPr>
            <w:tcW w:w="1271" w:type="dxa"/>
            <w:vMerge/>
          </w:tcPr>
          <w:p w14:paraId="2630F275" w14:textId="77777777" w:rsidR="009471C6" w:rsidRDefault="009471C6" w:rsidP="00533DC0">
            <w:pPr>
              <w:jc w:val="both"/>
              <w:rPr>
                <w:rFonts w:ascii="HendersonSansW00-BasicLight" w:eastAsia="Garamond" w:hAnsi="HendersonSansW00-BasicLight" w:cs="Garamond"/>
              </w:rPr>
            </w:pPr>
          </w:p>
        </w:tc>
        <w:tc>
          <w:tcPr>
            <w:tcW w:w="567" w:type="dxa"/>
            <w:vAlign w:val="center"/>
          </w:tcPr>
          <w:p w14:paraId="3ED24B98" w14:textId="175E510D"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Ítem</w:t>
            </w:r>
          </w:p>
        </w:tc>
        <w:tc>
          <w:tcPr>
            <w:tcW w:w="1157" w:type="dxa"/>
            <w:vAlign w:val="center"/>
          </w:tcPr>
          <w:p w14:paraId="24AADEF0" w14:textId="27951B09"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 xml:space="preserve">Nombre del </w:t>
            </w:r>
            <w:r>
              <w:rPr>
                <w:rFonts w:ascii="HendersonSansW00-BasicLight" w:eastAsia="Garamond" w:hAnsi="HendersonSansW00-BasicLight" w:cs="Garamond"/>
                <w:sz w:val="14"/>
                <w:szCs w:val="14"/>
              </w:rPr>
              <w:t>estudio</w:t>
            </w:r>
          </w:p>
        </w:tc>
        <w:tc>
          <w:tcPr>
            <w:tcW w:w="1158" w:type="dxa"/>
            <w:vAlign w:val="center"/>
          </w:tcPr>
          <w:p w14:paraId="4A375310" w14:textId="34E96F0E" w:rsidR="009471C6" w:rsidRPr="000064F6" w:rsidRDefault="009471C6" w:rsidP="00533DC0">
            <w:pPr>
              <w:jc w:val="center"/>
              <w:rPr>
                <w:rFonts w:ascii="HendersonSansW00-BasicLight" w:eastAsia="Garamond" w:hAnsi="HendersonSansW00-BasicLight" w:cs="Garamond"/>
                <w:sz w:val="14"/>
                <w:szCs w:val="14"/>
              </w:rPr>
            </w:pPr>
            <w:r>
              <w:rPr>
                <w:rFonts w:ascii="HendersonSansW00-BasicLight" w:eastAsia="Garamond" w:hAnsi="HendersonSansW00-BasicLight" w:cs="Garamond"/>
                <w:sz w:val="14"/>
                <w:szCs w:val="14"/>
              </w:rPr>
              <w:t>Tipo de estudio</w:t>
            </w:r>
          </w:p>
        </w:tc>
        <w:tc>
          <w:tcPr>
            <w:tcW w:w="1158" w:type="dxa"/>
            <w:vAlign w:val="center"/>
          </w:tcPr>
          <w:p w14:paraId="477A574B" w14:textId="4B93BCDB"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Propietario</w:t>
            </w:r>
          </w:p>
        </w:tc>
        <w:tc>
          <w:tcPr>
            <w:tcW w:w="1157" w:type="dxa"/>
            <w:vAlign w:val="center"/>
          </w:tcPr>
          <w:p w14:paraId="3B73A0DA" w14:textId="6A260C3A"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Ubicación</w:t>
            </w:r>
          </w:p>
        </w:tc>
        <w:tc>
          <w:tcPr>
            <w:tcW w:w="1158" w:type="dxa"/>
            <w:vAlign w:val="center"/>
          </w:tcPr>
          <w:p w14:paraId="274C7B4C" w14:textId="1F8505B4"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Fecha de entrega del informe</w:t>
            </w:r>
          </w:p>
        </w:tc>
        <w:tc>
          <w:tcPr>
            <w:tcW w:w="1158" w:type="dxa"/>
            <w:vAlign w:val="center"/>
          </w:tcPr>
          <w:p w14:paraId="3C22D765" w14:textId="2FA79637" w:rsidR="009471C6" w:rsidRPr="000064F6" w:rsidRDefault="009471C6" w:rsidP="00533DC0">
            <w:pPr>
              <w:jc w:val="center"/>
              <w:rPr>
                <w:rFonts w:ascii="HendersonSansW00-BasicLight" w:eastAsia="Garamond" w:hAnsi="HendersonSansW00-BasicLight" w:cs="Garamond"/>
                <w:sz w:val="14"/>
                <w:szCs w:val="14"/>
              </w:rPr>
            </w:pPr>
            <w:r w:rsidRPr="000064F6">
              <w:rPr>
                <w:rFonts w:ascii="HendersonSansW00-BasicLight" w:eastAsia="Garamond" w:hAnsi="HendersonSansW00-BasicLight" w:cs="Garamond"/>
                <w:sz w:val="14"/>
                <w:szCs w:val="14"/>
              </w:rPr>
              <w:t>Nº de referencia documento probatorio</w:t>
            </w:r>
          </w:p>
        </w:tc>
      </w:tr>
      <w:tr w:rsidR="009471C6" w14:paraId="07F5CAD2" w14:textId="77777777" w:rsidTr="006749F1">
        <w:tc>
          <w:tcPr>
            <w:tcW w:w="1271" w:type="dxa"/>
            <w:vMerge/>
          </w:tcPr>
          <w:p w14:paraId="4757E6C1" w14:textId="77777777" w:rsidR="009471C6" w:rsidRDefault="009471C6" w:rsidP="00533DC0">
            <w:pPr>
              <w:jc w:val="both"/>
              <w:rPr>
                <w:rFonts w:ascii="HendersonSansW00-BasicLight" w:eastAsia="Garamond" w:hAnsi="HendersonSansW00-BasicLight" w:cs="Garamond"/>
              </w:rPr>
            </w:pPr>
          </w:p>
        </w:tc>
        <w:tc>
          <w:tcPr>
            <w:tcW w:w="567" w:type="dxa"/>
            <w:vAlign w:val="center"/>
          </w:tcPr>
          <w:p w14:paraId="123C5920" w14:textId="2072BC71" w:rsidR="009471C6" w:rsidRPr="00AD1BA9" w:rsidRDefault="009471C6" w:rsidP="00533DC0">
            <w:pPr>
              <w:jc w:val="center"/>
              <w:rPr>
                <w:rFonts w:ascii="HendersonSansW00-BasicLight" w:eastAsia="Garamond" w:hAnsi="HendersonSansW00-BasicLight" w:cs="Garamond"/>
                <w:sz w:val="16"/>
                <w:szCs w:val="16"/>
              </w:rPr>
            </w:pPr>
            <w:r>
              <w:rPr>
                <w:rFonts w:ascii="HendersonSansW00-BasicLight" w:eastAsia="Garamond" w:hAnsi="HendersonSansW00-BasicLight" w:cs="Garamond"/>
                <w:sz w:val="16"/>
                <w:szCs w:val="16"/>
              </w:rPr>
              <w:t>1</w:t>
            </w:r>
          </w:p>
        </w:tc>
        <w:tc>
          <w:tcPr>
            <w:tcW w:w="1157" w:type="dxa"/>
            <w:vAlign w:val="center"/>
          </w:tcPr>
          <w:p w14:paraId="3033E064" w14:textId="77777777" w:rsidR="009471C6" w:rsidRPr="00AD1BA9" w:rsidRDefault="009471C6" w:rsidP="00533DC0">
            <w:pPr>
              <w:jc w:val="center"/>
              <w:rPr>
                <w:rFonts w:ascii="HendersonSansW00-BasicLight" w:eastAsia="Garamond" w:hAnsi="HendersonSansW00-BasicLight" w:cs="Garamond"/>
                <w:sz w:val="16"/>
                <w:szCs w:val="16"/>
              </w:rPr>
            </w:pPr>
          </w:p>
        </w:tc>
        <w:tc>
          <w:tcPr>
            <w:tcW w:w="1158" w:type="dxa"/>
            <w:vAlign w:val="center"/>
          </w:tcPr>
          <w:p w14:paraId="513425E8"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589F1D5B" w14:textId="77777777" w:rsidR="009471C6" w:rsidRDefault="009471C6" w:rsidP="00533DC0">
            <w:pPr>
              <w:jc w:val="center"/>
              <w:rPr>
                <w:rFonts w:ascii="HendersonSansW00-BasicLight" w:eastAsia="Garamond" w:hAnsi="HendersonSansW00-BasicLight" w:cs="Garamond"/>
                <w:sz w:val="16"/>
                <w:szCs w:val="16"/>
              </w:rPr>
            </w:pPr>
          </w:p>
        </w:tc>
        <w:tc>
          <w:tcPr>
            <w:tcW w:w="1157" w:type="dxa"/>
            <w:vAlign w:val="center"/>
          </w:tcPr>
          <w:p w14:paraId="6B36115C"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324945CF"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4007D7FD" w14:textId="77777777" w:rsidR="009471C6" w:rsidRDefault="009471C6" w:rsidP="00533DC0">
            <w:pPr>
              <w:jc w:val="center"/>
              <w:rPr>
                <w:rFonts w:ascii="HendersonSansW00-BasicLight" w:eastAsia="Garamond" w:hAnsi="HendersonSansW00-BasicLight" w:cs="Garamond"/>
                <w:sz w:val="16"/>
                <w:szCs w:val="16"/>
              </w:rPr>
            </w:pPr>
          </w:p>
        </w:tc>
      </w:tr>
      <w:tr w:rsidR="009471C6" w14:paraId="07E63CAC" w14:textId="77777777" w:rsidTr="006749F1">
        <w:tc>
          <w:tcPr>
            <w:tcW w:w="1271" w:type="dxa"/>
            <w:vMerge/>
          </w:tcPr>
          <w:p w14:paraId="346C144E" w14:textId="77777777" w:rsidR="009471C6" w:rsidRDefault="009471C6" w:rsidP="00533DC0">
            <w:pPr>
              <w:jc w:val="both"/>
              <w:rPr>
                <w:rFonts w:ascii="HendersonSansW00-BasicLight" w:eastAsia="Garamond" w:hAnsi="HendersonSansW00-BasicLight" w:cs="Garamond"/>
              </w:rPr>
            </w:pPr>
          </w:p>
        </w:tc>
        <w:tc>
          <w:tcPr>
            <w:tcW w:w="567" w:type="dxa"/>
            <w:vAlign w:val="center"/>
          </w:tcPr>
          <w:p w14:paraId="3153C8A2" w14:textId="4D198E91" w:rsidR="009471C6" w:rsidRPr="00AD1BA9" w:rsidRDefault="009471C6" w:rsidP="00533DC0">
            <w:pPr>
              <w:jc w:val="center"/>
              <w:rPr>
                <w:rFonts w:ascii="HendersonSansW00-BasicLight" w:eastAsia="Garamond" w:hAnsi="HendersonSansW00-BasicLight" w:cs="Garamond"/>
                <w:sz w:val="16"/>
                <w:szCs w:val="16"/>
              </w:rPr>
            </w:pPr>
            <w:r>
              <w:rPr>
                <w:rFonts w:ascii="HendersonSansW00-BasicLight" w:eastAsia="Garamond" w:hAnsi="HendersonSansW00-BasicLight" w:cs="Garamond"/>
                <w:sz w:val="16"/>
                <w:szCs w:val="16"/>
              </w:rPr>
              <w:t>2</w:t>
            </w:r>
          </w:p>
        </w:tc>
        <w:tc>
          <w:tcPr>
            <w:tcW w:w="1157" w:type="dxa"/>
            <w:vAlign w:val="center"/>
          </w:tcPr>
          <w:p w14:paraId="7644AF96" w14:textId="77777777" w:rsidR="009471C6" w:rsidRPr="00AD1BA9" w:rsidRDefault="009471C6" w:rsidP="00533DC0">
            <w:pPr>
              <w:jc w:val="center"/>
              <w:rPr>
                <w:rFonts w:ascii="HendersonSansW00-BasicLight" w:eastAsia="Garamond" w:hAnsi="HendersonSansW00-BasicLight" w:cs="Garamond"/>
                <w:sz w:val="16"/>
                <w:szCs w:val="16"/>
              </w:rPr>
            </w:pPr>
          </w:p>
        </w:tc>
        <w:tc>
          <w:tcPr>
            <w:tcW w:w="1158" w:type="dxa"/>
            <w:vAlign w:val="center"/>
          </w:tcPr>
          <w:p w14:paraId="44110B4C"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5CEB3B8C" w14:textId="77777777" w:rsidR="009471C6" w:rsidRDefault="009471C6" w:rsidP="00533DC0">
            <w:pPr>
              <w:jc w:val="center"/>
              <w:rPr>
                <w:rFonts w:ascii="HendersonSansW00-BasicLight" w:eastAsia="Garamond" w:hAnsi="HendersonSansW00-BasicLight" w:cs="Garamond"/>
                <w:sz w:val="16"/>
                <w:szCs w:val="16"/>
              </w:rPr>
            </w:pPr>
          </w:p>
        </w:tc>
        <w:tc>
          <w:tcPr>
            <w:tcW w:w="1157" w:type="dxa"/>
            <w:vAlign w:val="center"/>
          </w:tcPr>
          <w:p w14:paraId="47585B00"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7D347F69"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6208D528" w14:textId="77777777" w:rsidR="009471C6" w:rsidRDefault="009471C6" w:rsidP="00533DC0">
            <w:pPr>
              <w:jc w:val="center"/>
              <w:rPr>
                <w:rFonts w:ascii="HendersonSansW00-BasicLight" w:eastAsia="Garamond" w:hAnsi="HendersonSansW00-BasicLight" w:cs="Garamond"/>
                <w:sz w:val="16"/>
                <w:szCs w:val="16"/>
              </w:rPr>
            </w:pPr>
          </w:p>
        </w:tc>
      </w:tr>
      <w:tr w:rsidR="009471C6" w14:paraId="3C420267" w14:textId="77777777" w:rsidTr="00B43B9F">
        <w:trPr>
          <w:trHeight w:val="435"/>
        </w:trPr>
        <w:tc>
          <w:tcPr>
            <w:tcW w:w="1271" w:type="dxa"/>
            <w:vMerge/>
          </w:tcPr>
          <w:p w14:paraId="37CC9CBC" w14:textId="77777777" w:rsidR="009471C6" w:rsidRDefault="009471C6" w:rsidP="00533DC0">
            <w:pPr>
              <w:jc w:val="both"/>
              <w:rPr>
                <w:rFonts w:ascii="HendersonSansW00-BasicLight" w:eastAsia="Garamond" w:hAnsi="HendersonSansW00-BasicLight" w:cs="Garamond"/>
              </w:rPr>
            </w:pPr>
          </w:p>
        </w:tc>
        <w:tc>
          <w:tcPr>
            <w:tcW w:w="567" w:type="dxa"/>
            <w:vAlign w:val="center"/>
          </w:tcPr>
          <w:p w14:paraId="3FA5BAAE" w14:textId="06B1088B" w:rsidR="009471C6" w:rsidRDefault="009471C6" w:rsidP="00533DC0">
            <w:pPr>
              <w:jc w:val="center"/>
              <w:rPr>
                <w:rFonts w:ascii="HendersonSansW00-BasicLight" w:eastAsia="Garamond" w:hAnsi="HendersonSansW00-BasicLight" w:cs="Garamond"/>
                <w:sz w:val="16"/>
                <w:szCs w:val="16"/>
              </w:rPr>
            </w:pPr>
            <w:r>
              <w:rPr>
                <w:rFonts w:ascii="HendersonSansW00-BasicLight" w:eastAsia="Garamond" w:hAnsi="HendersonSansW00-BasicLight" w:cs="Garamond"/>
                <w:sz w:val="16"/>
                <w:szCs w:val="16"/>
              </w:rPr>
              <w:t>3</w:t>
            </w:r>
          </w:p>
        </w:tc>
        <w:tc>
          <w:tcPr>
            <w:tcW w:w="1157" w:type="dxa"/>
            <w:vAlign w:val="center"/>
          </w:tcPr>
          <w:p w14:paraId="53F76BA5" w14:textId="77777777" w:rsidR="009471C6" w:rsidRPr="00AD1BA9" w:rsidRDefault="009471C6" w:rsidP="00533DC0">
            <w:pPr>
              <w:jc w:val="center"/>
              <w:rPr>
                <w:rFonts w:ascii="HendersonSansW00-BasicLight" w:eastAsia="Garamond" w:hAnsi="HendersonSansW00-BasicLight" w:cs="Garamond"/>
                <w:sz w:val="16"/>
                <w:szCs w:val="16"/>
              </w:rPr>
            </w:pPr>
          </w:p>
        </w:tc>
        <w:tc>
          <w:tcPr>
            <w:tcW w:w="1158" w:type="dxa"/>
            <w:vAlign w:val="center"/>
          </w:tcPr>
          <w:p w14:paraId="55E968E4"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7669C565" w14:textId="77777777" w:rsidR="009471C6" w:rsidRDefault="009471C6" w:rsidP="00533DC0">
            <w:pPr>
              <w:jc w:val="center"/>
              <w:rPr>
                <w:rFonts w:ascii="HendersonSansW00-BasicLight" w:eastAsia="Garamond" w:hAnsi="HendersonSansW00-BasicLight" w:cs="Garamond"/>
                <w:sz w:val="16"/>
                <w:szCs w:val="16"/>
              </w:rPr>
            </w:pPr>
          </w:p>
        </w:tc>
        <w:tc>
          <w:tcPr>
            <w:tcW w:w="1157" w:type="dxa"/>
            <w:vAlign w:val="center"/>
          </w:tcPr>
          <w:p w14:paraId="52C6BA56"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2CE75ED1" w14:textId="77777777" w:rsidR="009471C6" w:rsidRDefault="009471C6" w:rsidP="00533DC0">
            <w:pPr>
              <w:jc w:val="center"/>
              <w:rPr>
                <w:rFonts w:ascii="HendersonSansW00-BasicLight" w:eastAsia="Garamond" w:hAnsi="HendersonSansW00-BasicLight" w:cs="Garamond"/>
                <w:sz w:val="16"/>
                <w:szCs w:val="16"/>
              </w:rPr>
            </w:pPr>
          </w:p>
        </w:tc>
        <w:tc>
          <w:tcPr>
            <w:tcW w:w="1158" w:type="dxa"/>
            <w:vAlign w:val="center"/>
          </w:tcPr>
          <w:p w14:paraId="432D4F24" w14:textId="77777777" w:rsidR="009471C6" w:rsidRDefault="009471C6" w:rsidP="00533DC0">
            <w:pPr>
              <w:jc w:val="center"/>
              <w:rPr>
                <w:rFonts w:ascii="HendersonSansW00-BasicLight" w:eastAsia="Garamond" w:hAnsi="HendersonSansW00-BasicLight" w:cs="Garamond"/>
                <w:sz w:val="16"/>
                <w:szCs w:val="16"/>
              </w:rPr>
            </w:pPr>
          </w:p>
        </w:tc>
      </w:tr>
    </w:tbl>
    <w:p w14:paraId="12D20806" w14:textId="77777777" w:rsidR="00114FD3" w:rsidRDefault="00114FD3" w:rsidP="00533DC0">
      <w:pPr>
        <w:spacing w:after="0" w:line="240" w:lineRule="auto"/>
        <w:jc w:val="both"/>
        <w:rPr>
          <w:rFonts w:ascii="HendersonSansW00-BasicLight" w:eastAsia="Garamond" w:hAnsi="HendersonSansW00-BasicLight" w:cs="Garamond"/>
          <w:highlight w:val="yellow"/>
        </w:rPr>
      </w:pPr>
    </w:p>
    <w:p w14:paraId="6FC1B2A0" w14:textId="01B84416" w:rsidR="001F7890" w:rsidRDefault="00220678" w:rsidP="00533DC0">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La </w:t>
      </w:r>
      <w:r w:rsidR="004F51CA" w:rsidRPr="000C4945">
        <w:rPr>
          <w:rFonts w:ascii="HendersonSansW00-BasicLight" w:eastAsia="Garamond" w:hAnsi="HendersonSansW00-BasicLight" w:cs="Garamond"/>
          <w:b/>
          <w:bCs/>
        </w:rPr>
        <w:t>ADMINISTRACIÓN</w:t>
      </w:r>
      <w:r w:rsidR="001F7890" w:rsidRPr="00C85C82">
        <w:rPr>
          <w:rFonts w:ascii="HendersonSansW00-BasicLight" w:eastAsia="Garamond" w:hAnsi="HendersonSansW00-BasicLight" w:cs="Garamond"/>
        </w:rPr>
        <w:t xml:space="preserve"> se reserva el derecho de comprobar</w:t>
      </w:r>
      <w:r w:rsidR="00AC5C4F" w:rsidRPr="00C85C82">
        <w:rPr>
          <w:rFonts w:ascii="HendersonSansW00-BasicLight" w:eastAsia="Garamond" w:hAnsi="HendersonSansW00-BasicLight" w:cs="Garamond"/>
        </w:rPr>
        <w:t xml:space="preserve"> toda la información aportada. </w:t>
      </w:r>
      <w:r w:rsidR="001F7890" w:rsidRPr="00C85C82">
        <w:rPr>
          <w:rFonts w:ascii="HendersonSansW00-BasicLight" w:eastAsia="Garamond" w:hAnsi="HendersonSansW00-BasicLight" w:cs="Garamond"/>
        </w:rPr>
        <w:t>Cualquier información falsa será objeto de descalificación de la empresa.</w:t>
      </w:r>
    </w:p>
    <w:p w14:paraId="0D8F7810" w14:textId="77777777" w:rsidR="00D13CA1" w:rsidRPr="00C85C82" w:rsidRDefault="00D13CA1" w:rsidP="00533DC0">
      <w:pPr>
        <w:spacing w:after="0" w:line="240" w:lineRule="auto"/>
        <w:jc w:val="both"/>
        <w:rPr>
          <w:rFonts w:ascii="HendersonSansW00-BasicLight" w:eastAsia="Garamond" w:hAnsi="HendersonSansW00-BasicLight" w:cs="Garamond"/>
        </w:rPr>
      </w:pPr>
    </w:p>
    <w:p w14:paraId="74EEA35A" w14:textId="02F3347D" w:rsidR="001F7890" w:rsidRDefault="001F7890"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equipo consultor será el personal responsable por llevar a cabo </w:t>
      </w:r>
      <w:r w:rsidR="00220678">
        <w:rPr>
          <w:rFonts w:ascii="HendersonSansW00-BasicLight" w:eastAsia="Garamond" w:hAnsi="HendersonSansW00-BasicLight" w:cs="Garamond"/>
        </w:rPr>
        <w:t>el estudio</w:t>
      </w:r>
      <w:r w:rsidRPr="00C85C82">
        <w:rPr>
          <w:rFonts w:ascii="HendersonSansW00-BasicLight" w:eastAsia="Garamond" w:hAnsi="HendersonSansW00-BasicLight" w:cs="Garamond"/>
        </w:rPr>
        <w:t>.  Cualquier sustitución se hará solo en situaciones de fuerza mayor, y deberá aportar un sustituto con calidades similares o superiores a las solicitadas en este pliego de condiciones, quien será evaluado por la institución a partir de los mismos criterios con que fue aceptado el equipo original.</w:t>
      </w:r>
    </w:p>
    <w:p w14:paraId="27D1D2CE" w14:textId="77777777" w:rsidR="00707A18" w:rsidRDefault="00707A18" w:rsidP="00533DC0">
      <w:pPr>
        <w:spacing w:after="0" w:line="240" w:lineRule="auto"/>
        <w:jc w:val="both"/>
        <w:rPr>
          <w:rFonts w:ascii="HendersonSansW00-BasicLight" w:eastAsia="Garamond" w:hAnsi="HendersonSansW00-BasicLight" w:cs="Garamond"/>
        </w:rPr>
      </w:pPr>
    </w:p>
    <w:p w14:paraId="4C2CD18D" w14:textId="294DAC24" w:rsidR="00707A18" w:rsidRPr="00C85C82" w:rsidRDefault="00707A18" w:rsidP="00533DC0">
      <w:pPr>
        <w:spacing w:after="0" w:line="240" w:lineRule="auto"/>
        <w:jc w:val="both"/>
        <w:rPr>
          <w:rFonts w:ascii="HendersonSansW00-BasicLight" w:eastAsia="Garamond" w:hAnsi="HendersonSansW00-BasicLight" w:cs="Garamond"/>
        </w:rPr>
      </w:pPr>
      <w:r w:rsidRPr="00707A18">
        <w:rPr>
          <w:rFonts w:ascii="HendersonSansW00-BasicLight" w:eastAsia="Garamond" w:hAnsi="HendersonSansW00-BasicLight" w:cs="Garamond"/>
          <w:b/>
          <w:bCs/>
        </w:rPr>
        <w:t>Idoneidad financiera.</w:t>
      </w:r>
      <w:r w:rsidRPr="00707A18">
        <w:rPr>
          <w:rFonts w:ascii="HendersonSansW00-BasicLight" w:eastAsia="Garamond" w:hAnsi="HendersonSansW00-BasicLight" w:cs="Garamond"/>
        </w:rPr>
        <w:t xml:space="preserve"> El </w:t>
      </w:r>
      <w:r w:rsidRPr="00707A18">
        <w:rPr>
          <w:rFonts w:ascii="HendersonSansW00-BasicLight" w:eastAsia="Garamond" w:hAnsi="HendersonSansW00-BasicLight" w:cs="Garamond"/>
          <w:b/>
          <w:bCs/>
        </w:rPr>
        <w:t>OFERENTE</w:t>
      </w:r>
      <w:r w:rsidRPr="00707A18">
        <w:rPr>
          <w:rFonts w:ascii="HendersonSansW00-BasicLight" w:eastAsia="Garamond" w:hAnsi="HendersonSansW00-BasicLight" w:cs="Garamond"/>
        </w:rPr>
        <w:t xml:space="preserve"> deberá acreditar su idoneidad financiera conforme a lo establecido en el </w:t>
      </w:r>
      <w:r w:rsidRPr="00707A18">
        <w:rPr>
          <w:rFonts w:ascii="HendersonSansW00-BasicLight" w:eastAsia="Garamond" w:hAnsi="HendersonSansW00-BasicLight" w:cs="Garamond"/>
          <w:b/>
          <w:bCs/>
        </w:rPr>
        <w:t>Anexo No. 1</w:t>
      </w:r>
      <w:r w:rsidRPr="00707A18">
        <w:rPr>
          <w:rFonts w:ascii="HendersonSansW00-BasicLight" w:eastAsia="Garamond" w:hAnsi="HendersonSansW00-BasicLight" w:cs="Garamond"/>
        </w:rPr>
        <w:t xml:space="preserve"> </w:t>
      </w:r>
      <w:r w:rsidRPr="00707A18">
        <w:rPr>
          <w:rFonts w:ascii="HendersonSansW00-BasicLight" w:eastAsia="Garamond" w:hAnsi="HendersonSansW00-BasicLight" w:cs="Garamond"/>
          <w:i/>
          <w:iCs/>
        </w:rPr>
        <w:t>"Información Financiera del Oferente"</w:t>
      </w:r>
      <w:r w:rsidRPr="00707A18">
        <w:rPr>
          <w:rFonts w:ascii="HendersonSansW00-BasicLight" w:eastAsia="Garamond" w:hAnsi="HendersonSansW00-BasicLight" w:cs="Garamond"/>
        </w:rPr>
        <w:t xml:space="preserve">, el cual forma parte integral del presente </w:t>
      </w:r>
      <w:r w:rsidRPr="00707A18">
        <w:rPr>
          <w:rFonts w:ascii="HendersonSansW00-BasicLight" w:eastAsia="Garamond" w:hAnsi="HendersonSansW00-BasicLight" w:cs="Garamond"/>
          <w:b/>
          <w:bCs/>
        </w:rPr>
        <w:t>CARTEL</w:t>
      </w:r>
      <w:r w:rsidRPr="00707A18">
        <w:rPr>
          <w:rFonts w:ascii="HendersonSansW00-BasicLight" w:eastAsia="Garamond" w:hAnsi="HendersonSansW00-BasicLight" w:cs="Garamond"/>
        </w:rPr>
        <w:t xml:space="preserve">. La evaluación financiera se realiza únicamente como requisito de admisibilidad y no otorga puntaje en el sistema de valoración y comparación de antecedentes. El </w:t>
      </w:r>
      <w:r w:rsidRPr="00707A18">
        <w:rPr>
          <w:rFonts w:ascii="HendersonSansW00-BasicLight" w:eastAsia="Garamond" w:hAnsi="HendersonSansW00-BasicLight" w:cs="Garamond"/>
          <w:b/>
          <w:bCs/>
        </w:rPr>
        <w:t>OFERENTE</w:t>
      </w:r>
      <w:r w:rsidRPr="00707A18">
        <w:rPr>
          <w:rFonts w:ascii="HendersonSansW00-BasicLight" w:eastAsia="Garamond" w:hAnsi="HendersonSansW00-BasicLight" w:cs="Garamond"/>
        </w:rPr>
        <w:t xml:space="preserve"> deberá cumplir con los seis criterios de admisibilidad definidos en el </w:t>
      </w:r>
      <w:r w:rsidRPr="00707A18">
        <w:rPr>
          <w:rFonts w:ascii="HendersonSansW00-BasicLight" w:eastAsia="Garamond" w:hAnsi="HendersonSansW00-BasicLight" w:cs="Garamond"/>
          <w:b/>
          <w:bCs/>
        </w:rPr>
        <w:t>Anexo No. 1</w:t>
      </w:r>
      <w:r w:rsidRPr="00707A18">
        <w:rPr>
          <w:rFonts w:ascii="HendersonSansW00-BasicLight" w:eastAsia="Garamond" w:hAnsi="HendersonSansW00-BasicLight" w:cs="Garamond"/>
        </w:rPr>
        <w:t xml:space="preserve">: (i) integridad documental; (ii) solvencia patrimonial; (iii) continuidad operativa; (iv) solidez patrimonial; (v) liquidez mínima; y (vi) escala de operación. El incumplimiento de cualquiera de estos criterios, no subsanado en el plazo otorgado por la </w:t>
      </w:r>
      <w:r w:rsidRPr="00707A18">
        <w:rPr>
          <w:rFonts w:ascii="HendersonSansW00-BasicLight" w:eastAsia="Garamond" w:hAnsi="HendersonSansW00-BasicLight" w:cs="Garamond"/>
          <w:b/>
          <w:bCs/>
        </w:rPr>
        <w:t>ADMINISTRACIÓN</w:t>
      </w:r>
      <w:r w:rsidRPr="00707A18">
        <w:rPr>
          <w:rFonts w:ascii="HendersonSansW00-BasicLight" w:eastAsia="Garamond" w:hAnsi="HendersonSansW00-BasicLight" w:cs="Garamond"/>
        </w:rPr>
        <w:t xml:space="preserve">, será causal de exclusión del </w:t>
      </w:r>
      <w:r w:rsidRPr="00707A18">
        <w:rPr>
          <w:rFonts w:ascii="HendersonSansW00-BasicLight" w:eastAsia="Garamond" w:hAnsi="HendersonSansW00-BasicLight" w:cs="Garamond"/>
          <w:b/>
          <w:bCs/>
        </w:rPr>
        <w:t>OFERENTE</w:t>
      </w:r>
      <w:r w:rsidRPr="00707A18">
        <w:rPr>
          <w:rFonts w:ascii="HendersonSansW00-BasicLight" w:eastAsia="Garamond" w:hAnsi="HendersonSansW00-BasicLight" w:cs="Garamond"/>
        </w:rPr>
        <w:t xml:space="preserve"> del procedimiento de preselección.</w:t>
      </w:r>
    </w:p>
    <w:p w14:paraId="7A4D3F84" w14:textId="77777777" w:rsidR="008C787C" w:rsidRPr="00C85C82" w:rsidRDefault="008C787C" w:rsidP="00533DC0">
      <w:pPr>
        <w:spacing w:after="0" w:line="240" w:lineRule="auto"/>
        <w:jc w:val="both"/>
        <w:rPr>
          <w:rFonts w:ascii="HendersonSansW00-BasicLight" w:hAnsi="HendersonSansW00-BasicLight"/>
          <w:highlight w:val="yellow"/>
        </w:rPr>
      </w:pPr>
    </w:p>
    <w:p w14:paraId="3D889B32" w14:textId="12AF4340" w:rsidR="00C144E4" w:rsidRPr="00C85C82" w:rsidRDefault="00C144E4" w:rsidP="00533DC0">
      <w:pPr>
        <w:spacing w:after="0" w:line="240" w:lineRule="auto"/>
        <w:jc w:val="both"/>
        <w:rPr>
          <w:rFonts w:ascii="HendersonSansW00-BasicLight" w:eastAsia="Garamond" w:hAnsi="HendersonSansW00-BasicLight" w:cs="Garamond"/>
        </w:rPr>
      </w:pPr>
    </w:p>
    <w:p w14:paraId="68BA9922" w14:textId="77777777" w:rsidR="00BD55DE" w:rsidRPr="00192605" w:rsidRDefault="00A33DDC" w:rsidP="00533DC0">
      <w:pPr>
        <w:keepNext/>
        <w:numPr>
          <w:ilvl w:val="0"/>
          <w:numId w:val="8"/>
        </w:numPr>
        <w:tabs>
          <w:tab w:val="left" w:pos="-720"/>
        </w:tabs>
        <w:spacing w:after="0" w:line="240" w:lineRule="auto"/>
        <w:rPr>
          <w:rFonts w:ascii="HendersonSansW00-BasicLight" w:eastAsia="Garamond" w:hAnsi="HendersonSansW00-BasicLight" w:cs="Garamond"/>
          <w:b/>
          <w:color w:val="000000"/>
        </w:rPr>
      </w:pPr>
      <w:bookmarkStart w:id="9" w:name="_heading=h.3rdcrjn" w:colFirst="0" w:colLast="0"/>
      <w:bookmarkEnd w:id="9"/>
      <w:r w:rsidRPr="00192605">
        <w:rPr>
          <w:rFonts w:ascii="HendersonSansW00-BasicLight" w:eastAsia="Garamond" w:hAnsi="HendersonSansW00-BasicLight" w:cs="Garamond"/>
          <w:b/>
          <w:color w:val="000000"/>
        </w:rPr>
        <w:t>RECEPCIÓN DE DOCUMENTOS</w:t>
      </w:r>
    </w:p>
    <w:p w14:paraId="59918C0F" w14:textId="77777777" w:rsidR="00BD55DE" w:rsidRPr="00192605" w:rsidRDefault="00BD55DE" w:rsidP="00533DC0">
      <w:pPr>
        <w:spacing w:after="0" w:line="240" w:lineRule="auto"/>
        <w:jc w:val="both"/>
        <w:rPr>
          <w:rFonts w:ascii="HendersonSansW00-BasicLight" w:eastAsia="Garamond" w:hAnsi="HendersonSansW00-BasicLight" w:cs="Garamond"/>
        </w:rPr>
      </w:pPr>
    </w:p>
    <w:p w14:paraId="11FFE9CA" w14:textId="77777777" w:rsidR="007427D4" w:rsidRPr="00192605" w:rsidRDefault="007427D4" w:rsidP="00533DC0">
      <w:p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 xml:space="preserve">La documentación presentada en cualquiera de las dos fases debe contener la información solicitada en el presente </w:t>
      </w:r>
      <w:r w:rsidRPr="00192605">
        <w:rPr>
          <w:rFonts w:ascii="HendersonSansW00-BasicLight" w:eastAsia="Garamond" w:hAnsi="HendersonSansW00-BasicLight" w:cs="Garamond"/>
          <w:b/>
        </w:rPr>
        <w:t>CARTEL</w:t>
      </w:r>
      <w:r w:rsidRPr="00192605">
        <w:rPr>
          <w:rFonts w:ascii="HendersonSansW00-BasicLight" w:eastAsia="Garamond" w:hAnsi="HendersonSansW00-BasicLight" w:cs="Garamond"/>
        </w:rPr>
        <w:t>, la cual deberá presentarse:</w:t>
      </w:r>
    </w:p>
    <w:p w14:paraId="21B8B251" w14:textId="77777777" w:rsidR="007427D4" w:rsidRPr="00192605" w:rsidRDefault="007427D4" w:rsidP="00533DC0">
      <w:pPr>
        <w:spacing w:after="0" w:line="240" w:lineRule="auto"/>
        <w:jc w:val="both"/>
        <w:rPr>
          <w:rFonts w:ascii="HendersonSansW00-BasicLight" w:eastAsia="Garamond" w:hAnsi="HendersonSansW00-BasicLight" w:cs="Garamond"/>
        </w:rPr>
      </w:pPr>
    </w:p>
    <w:p w14:paraId="459D8F4A" w14:textId="77777777"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En idioma español</w:t>
      </w:r>
    </w:p>
    <w:p w14:paraId="488ED6C2" w14:textId="77777777"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Con la totalidad de las páginas aportadas numeradas y ordenadas.</w:t>
      </w:r>
    </w:p>
    <w:p w14:paraId="2AD1B841" w14:textId="19E6D8AF"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lastRenderedPageBreak/>
        <w:t xml:space="preserve">Para </w:t>
      </w:r>
      <w:r w:rsidRPr="00192605">
        <w:rPr>
          <w:rFonts w:ascii="HendersonSansW00-BasicLight" w:eastAsia="Garamond" w:hAnsi="HendersonSansW00-BasicLight" w:cs="Garamond"/>
          <w:b/>
          <w:bCs/>
        </w:rPr>
        <w:t>OFERENTES</w:t>
      </w:r>
      <w:r w:rsidRPr="00192605">
        <w:rPr>
          <w:rFonts w:ascii="HendersonSansW00-BasicLight" w:eastAsia="Garamond" w:hAnsi="HendersonSansW00-BasicLight" w:cs="Garamond"/>
        </w:rPr>
        <w:t xml:space="preserve"> nacionales</w:t>
      </w:r>
      <w:r w:rsidR="00192605">
        <w:rPr>
          <w:rFonts w:ascii="HendersonSansW00-BasicLight" w:eastAsia="Garamond" w:hAnsi="HendersonSansW00-BasicLight" w:cs="Garamond"/>
        </w:rPr>
        <w:t xml:space="preserve"> o domiciliados en el país</w:t>
      </w:r>
      <w:r w:rsidRPr="00192605">
        <w:rPr>
          <w:rFonts w:ascii="HendersonSansW00-BasicLight" w:eastAsia="Garamond" w:hAnsi="HendersonSansW00-BasicLight" w:cs="Garamond"/>
        </w:rPr>
        <w:t xml:space="preserve">, la Oferta Técnica digital de primera fase deberá presentarse en formato PDF y firmada digitalmente por el Representante Legal del </w:t>
      </w:r>
      <w:r w:rsidRPr="00192605">
        <w:rPr>
          <w:rFonts w:ascii="HendersonSansW00-BasicLight" w:eastAsia="Garamond" w:hAnsi="HendersonSansW00-BasicLight" w:cs="Garamond"/>
          <w:b/>
          <w:bCs/>
        </w:rPr>
        <w:t>OFERENTE</w:t>
      </w:r>
      <w:r w:rsidRPr="00192605">
        <w:rPr>
          <w:rFonts w:ascii="HendersonSansW00-BasicLight" w:eastAsia="Garamond" w:hAnsi="HendersonSansW00-BasicLight" w:cs="Garamond"/>
        </w:rPr>
        <w:t xml:space="preserve"> de acuerdo a lo establecido en la Ley de Certificados, Firmas Digitales y Documentos Electrónicos Nº 8454. </w:t>
      </w:r>
    </w:p>
    <w:p w14:paraId="4A965F0B" w14:textId="77777777"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 xml:space="preserve">Para </w:t>
      </w:r>
      <w:r w:rsidRPr="00192605">
        <w:rPr>
          <w:rFonts w:ascii="HendersonSansW00-BasicLight" w:eastAsia="Garamond" w:hAnsi="HendersonSansW00-BasicLight" w:cs="Garamond"/>
          <w:b/>
          <w:bCs/>
        </w:rPr>
        <w:t>OFERENTES</w:t>
      </w:r>
      <w:r w:rsidRPr="00192605">
        <w:rPr>
          <w:rFonts w:ascii="HendersonSansW00-BasicLight" w:eastAsia="Garamond" w:hAnsi="HendersonSansW00-BasicLight" w:cs="Garamond"/>
        </w:rPr>
        <w:t xml:space="preserve"> internacionales, la Oferta Técnica digital de primera fase deberá presentarse en formato PDF y firmada digitalmente por el Representante Legal del </w:t>
      </w:r>
      <w:r w:rsidRPr="00192605">
        <w:rPr>
          <w:rFonts w:ascii="HendersonSansW00-BasicLight" w:eastAsia="Garamond" w:hAnsi="HendersonSansW00-BasicLight" w:cs="Garamond"/>
          <w:b/>
          <w:bCs/>
        </w:rPr>
        <w:t>OFERENTE</w:t>
      </w:r>
      <w:r w:rsidRPr="00192605">
        <w:rPr>
          <w:rFonts w:ascii="HendersonSansW00-BasicLight" w:eastAsia="Garamond" w:hAnsi="HendersonSansW00-BasicLight" w:cs="Garamond"/>
        </w:rPr>
        <w:t>. Se permite a las empresas internacionales utilizar plataformas digitales que certifiquen la validez de la firma (por ejemplo, SignNow, Global Sign, u otras).</w:t>
      </w:r>
    </w:p>
    <w:p w14:paraId="05C90324" w14:textId="77777777"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 xml:space="preserve">El Representante Legal del </w:t>
      </w:r>
      <w:r w:rsidRPr="00192605">
        <w:rPr>
          <w:rFonts w:ascii="HendersonSansW00-BasicLight" w:eastAsia="Garamond" w:hAnsi="HendersonSansW00-BasicLight" w:cs="Garamond"/>
          <w:b/>
          <w:bCs/>
        </w:rPr>
        <w:t>OFERENTE</w:t>
      </w:r>
      <w:r w:rsidRPr="00192605">
        <w:rPr>
          <w:rFonts w:ascii="HendersonSansW00-BasicLight" w:eastAsia="Garamond" w:hAnsi="HendersonSansW00-BasicLight" w:cs="Garamond"/>
        </w:rPr>
        <w:t xml:space="preserve"> deberá emitir una declaración jurada firmada digitalmente sobre la autenticidad y veracidad de todos los documentos aportados y utilizados como comprobación de la Metodología para la calificación de las ofertas del anexo n°3 de este cartel.</w:t>
      </w:r>
    </w:p>
    <w:p w14:paraId="0B8A1CE6" w14:textId="087863DA" w:rsidR="007427D4" w:rsidRPr="00192605" w:rsidRDefault="007427D4" w:rsidP="001F666B">
      <w:pPr>
        <w:numPr>
          <w:ilvl w:val="0"/>
          <w:numId w:val="41"/>
        </w:num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 xml:space="preserve">La información deberá ser </w:t>
      </w:r>
      <w:r w:rsidR="003531F3">
        <w:rPr>
          <w:rFonts w:ascii="HendersonSansW00-BasicLight" w:eastAsia="Garamond" w:hAnsi="HendersonSansW00-BasicLight" w:cs="Garamond"/>
        </w:rPr>
        <w:t xml:space="preserve">presentada de manera digital a los </w:t>
      </w:r>
      <w:r w:rsidRPr="00192605">
        <w:rPr>
          <w:rFonts w:ascii="HendersonSansW00-BasicLight" w:eastAsia="Garamond" w:hAnsi="HendersonSansW00-BasicLight" w:cs="Garamond"/>
        </w:rPr>
        <w:t>correo</w:t>
      </w:r>
      <w:r w:rsidR="003531F3">
        <w:rPr>
          <w:rFonts w:ascii="HendersonSansW00-BasicLight" w:eastAsia="Garamond" w:hAnsi="HendersonSansW00-BasicLight" w:cs="Garamond"/>
        </w:rPr>
        <w:t>s</w:t>
      </w:r>
      <w:r w:rsidR="008E200F">
        <w:rPr>
          <w:rFonts w:ascii="HendersonSansW00-BasicLight" w:eastAsia="Garamond" w:hAnsi="HendersonSansW00-BasicLight" w:cs="Garamond"/>
        </w:rPr>
        <w:t xml:space="preserve"> </w:t>
      </w:r>
      <w:r w:rsidR="008E200F" w:rsidRPr="008E200F">
        <w:rPr>
          <w:color w:val="0000FF"/>
          <w:u w:val="single"/>
        </w:rPr>
        <w:t>asadas@mba.go.cr</w:t>
      </w:r>
      <w:r w:rsidR="008E200F">
        <w:rPr>
          <w:color w:val="0000FF"/>
        </w:rPr>
        <w:t>,</w:t>
      </w:r>
      <w:r w:rsidRPr="00192605">
        <w:rPr>
          <w:rFonts w:ascii="HendersonSansW00-BasicLight" w:eastAsia="Garamond" w:hAnsi="HendersonSansW00-BasicLight" w:cs="Garamond"/>
        </w:rPr>
        <w:t xml:space="preserve"> </w:t>
      </w:r>
      <w:hyperlink r:id="rId10" w:history="1">
        <w:r w:rsidR="003531F3" w:rsidRPr="00BC07E0">
          <w:rPr>
            <w:rStyle w:val="Hipervnculo"/>
            <w:rFonts w:ascii="HendersonSansW00-BasicLight" w:eastAsia="Garamond" w:hAnsi="HendersonSansW00-BasicLight" w:cs="Garamond"/>
          </w:rPr>
          <w:t>gnunez@mba.go.cr</w:t>
        </w:r>
      </w:hyperlink>
      <w:r w:rsidR="008E200F">
        <w:rPr>
          <w:rFonts w:ascii="HendersonSansW00-BasicLight" w:eastAsia="Garamond" w:hAnsi="HendersonSansW00-BasicLight" w:cs="Garamond"/>
          <w:u w:val="single"/>
        </w:rPr>
        <w:t xml:space="preserve">, </w:t>
      </w:r>
      <w:r w:rsidR="003531F3">
        <w:rPr>
          <w:rFonts w:ascii="HendersonSansW00-BasicLight" w:eastAsia="Garamond" w:hAnsi="HendersonSansW00-BasicLight" w:cs="Garamond"/>
          <w:u w:val="single"/>
        </w:rPr>
        <w:t>jmorales@mba.go.cr</w:t>
      </w:r>
      <w:r w:rsidRPr="00192605">
        <w:rPr>
          <w:rFonts w:ascii="HendersonSansW00-BasicLight" w:eastAsia="Garamond" w:hAnsi="HendersonSansW00-BasicLight" w:cs="Garamond"/>
        </w:rPr>
        <w:t xml:space="preserve">. La portada de la documentación deberá venir debidamente identificada con el nombre del </w:t>
      </w:r>
      <w:r w:rsidRPr="00192605">
        <w:rPr>
          <w:rFonts w:ascii="HendersonSansW00-BasicLight" w:eastAsia="Garamond" w:hAnsi="HendersonSansW00-BasicLight" w:cs="Garamond"/>
          <w:b/>
          <w:bCs/>
        </w:rPr>
        <w:t>OFERENTE</w:t>
      </w:r>
      <w:r w:rsidRPr="00192605">
        <w:rPr>
          <w:rFonts w:ascii="HendersonSansW00-BasicLight" w:eastAsia="Garamond" w:hAnsi="HendersonSansW00-BasicLight" w:cs="Garamond"/>
        </w:rPr>
        <w:t xml:space="preserve">, el número del concurso y el tipo de oferta al que corresponde. </w:t>
      </w:r>
    </w:p>
    <w:p w14:paraId="4C836C76" w14:textId="77777777" w:rsidR="007427D4" w:rsidRPr="00192605" w:rsidRDefault="007427D4" w:rsidP="00533DC0">
      <w:pPr>
        <w:spacing w:after="0" w:line="240" w:lineRule="auto"/>
        <w:jc w:val="both"/>
        <w:rPr>
          <w:rFonts w:ascii="HendersonSansW00-BasicLight" w:eastAsia="Garamond" w:hAnsi="HendersonSansW00-BasicLight" w:cs="Garamond"/>
        </w:rPr>
      </w:pPr>
    </w:p>
    <w:p w14:paraId="68E4BA97" w14:textId="77777777" w:rsidR="007427D4" w:rsidRPr="00192605" w:rsidRDefault="007427D4" w:rsidP="00533DC0">
      <w:pPr>
        <w:spacing w:after="0" w:line="240" w:lineRule="auto"/>
        <w:jc w:val="both"/>
        <w:rPr>
          <w:rFonts w:ascii="HendersonSansW00-BasicLight" w:eastAsia="Garamond" w:hAnsi="HendersonSansW00-BasicLight" w:cs="Garamond"/>
        </w:rPr>
      </w:pPr>
      <w:r w:rsidRPr="00192605">
        <w:rPr>
          <w:rFonts w:ascii="HendersonSansW00-BasicLight" w:eastAsia="Garamond" w:hAnsi="HendersonSansW00-BasicLight" w:cs="Garamond"/>
        </w:rPr>
        <w:t xml:space="preserve">No serán consideradas en el presente </w:t>
      </w:r>
      <w:r w:rsidRPr="00192605">
        <w:rPr>
          <w:rFonts w:ascii="HendersonSansW00-BasicLight" w:eastAsia="Garamond" w:hAnsi="HendersonSansW00-BasicLight" w:cs="Garamond"/>
          <w:b/>
          <w:bCs/>
        </w:rPr>
        <w:t>CONCURSO</w:t>
      </w:r>
      <w:r w:rsidRPr="00192605">
        <w:rPr>
          <w:rFonts w:ascii="HendersonSansW00-BasicLight" w:eastAsia="Garamond" w:hAnsi="HendersonSansW00-BasicLight" w:cs="Garamond"/>
        </w:rPr>
        <w:t xml:space="preserve"> aquellas ofertas que presenten hojas separadas y no numeradas. La </w:t>
      </w:r>
      <w:r w:rsidRPr="00192605">
        <w:rPr>
          <w:rFonts w:ascii="HendersonSansW00-BasicLight" w:eastAsia="Garamond" w:hAnsi="HendersonSansW00-BasicLight" w:cs="Garamond"/>
          <w:b/>
          <w:bCs/>
        </w:rPr>
        <w:t>ADMINISTRACIÓN</w:t>
      </w:r>
      <w:r w:rsidRPr="00192605">
        <w:rPr>
          <w:rFonts w:ascii="HendersonSansW00-BasicLight" w:eastAsia="Garamond" w:hAnsi="HendersonSansW00-BasicLight" w:cs="Garamond"/>
        </w:rPr>
        <w:t xml:space="preserve"> no recibirá ofertas presentadas tardíamente y no se permite el cambio o adición a la documentación presentada, después de su recepción por la </w:t>
      </w:r>
      <w:r w:rsidRPr="00192605">
        <w:rPr>
          <w:rFonts w:ascii="HendersonSansW00-BasicLight" w:eastAsia="Garamond" w:hAnsi="HendersonSansW00-BasicLight" w:cs="Garamond"/>
          <w:b/>
          <w:bCs/>
        </w:rPr>
        <w:t>ADMINISTRACIÓN</w:t>
      </w:r>
      <w:r w:rsidRPr="00192605">
        <w:rPr>
          <w:rFonts w:ascii="HendersonSansW00-BasicLight" w:eastAsia="Garamond" w:hAnsi="HendersonSansW00-BasicLight" w:cs="Garamond"/>
        </w:rPr>
        <w:t>.</w:t>
      </w:r>
    </w:p>
    <w:p w14:paraId="43CF261C" w14:textId="77777777" w:rsidR="008B74E9" w:rsidRPr="00C85C82" w:rsidRDefault="008B74E9" w:rsidP="00533DC0">
      <w:pPr>
        <w:spacing w:after="0" w:line="240" w:lineRule="auto"/>
        <w:jc w:val="both"/>
        <w:rPr>
          <w:rFonts w:ascii="HendersonSansW00-BasicLight" w:eastAsia="Garamond" w:hAnsi="HendersonSansW00-BasicLight" w:cs="Garamond"/>
        </w:rPr>
      </w:pPr>
    </w:p>
    <w:p w14:paraId="42B99B72" w14:textId="77777777" w:rsidR="00BD55DE" w:rsidRPr="00C85C82" w:rsidRDefault="00A33DDC" w:rsidP="00533DC0">
      <w:pPr>
        <w:keepNext/>
        <w:numPr>
          <w:ilvl w:val="0"/>
          <w:numId w:val="8"/>
        </w:numPr>
        <w:tabs>
          <w:tab w:val="left" w:pos="-720"/>
        </w:tabs>
        <w:spacing w:after="0" w:line="240" w:lineRule="auto"/>
        <w:ind w:left="709"/>
        <w:rPr>
          <w:rFonts w:ascii="HendersonSansW00-BasicLight" w:eastAsia="Garamond" w:hAnsi="HendersonSansW00-BasicLight" w:cs="Garamond"/>
          <w:b/>
          <w:color w:val="000000"/>
        </w:rPr>
      </w:pPr>
      <w:bookmarkStart w:id="10" w:name="_heading=h.26in1rg" w:colFirst="0" w:colLast="0"/>
      <w:bookmarkEnd w:id="10"/>
      <w:r w:rsidRPr="00C85C82">
        <w:rPr>
          <w:rFonts w:ascii="HendersonSansW00-BasicLight" w:eastAsia="Garamond" w:hAnsi="HendersonSansW00-BasicLight" w:cs="Garamond"/>
          <w:b/>
          <w:color w:val="000000"/>
        </w:rPr>
        <w:t>MULTAS Y CLÁUSULA PENAL</w:t>
      </w:r>
    </w:p>
    <w:p w14:paraId="658D2A18" w14:textId="77777777" w:rsidR="00BD55DE" w:rsidRPr="00C85C82" w:rsidRDefault="00BD55DE" w:rsidP="00533DC0">
      <w:pPr>
        <w:keepNext/>
        <w:tabs>
          <w:tab w:val="left" w:pos="-720"/>
        </w:tabs>
        <w:spacing w:after="0" w:line="240" w:lineRule="auto"/>
        <w:rPr>
          <w:rFonts w:ascii="HendersonSansW00-BasicLight" w:eastAsia="Garamond" w:hAnsi="HendersonSansW00-BasicLight" w:cs="Garamond"/>
          <w:b/>
          <w:color w:val="000000"/>
        </w:rPr>
      </w:pPr>
    </w:p>
    <w:p w14:paraId="7394D812" w14:textId="77777777" w:rsidR="00BD55DE" w:rsidRPr="00C85C82" w:rsidRDefault="00A33DDC" w:rsidP="00533DC0">
      <w:pPr>
        <w:keepNext/>
        <w:tabs>
          <w:tab w:val="left" w:pos="-720"/>
        </w:tabs>
        <w:spacing w:after="0" w:line="240" w:lineRule="auto"/>
        <w:jc w:val="both"/>
        <w:rPr>
          <w:rFonts w:ascii="HendersonSansW00-BasicLight" w:eastAsia="Garamond" w:hAnsi="HendersonSansW00-BasicLight" w:cs="Garamond"/>
          <w:color w:val="000000"/>
        </w:rPr>
      </w:pPr>
      <w:r w:rsidRPr="00C85C82">
        <w:rPr>
          <w:rFonts w:ascii="HendersonSansW00-BasicLight" w:eastAsia="Garamond" w:hAnsi="HendersonSansW00-BasicLight" w:cs="Garamond"/>
          <w:color w:val="000000"/>
        </w:rPr>
        <w:t>Se deberá cumplir con lo establecido en el artículo 46 y 47 de la Ley General de Contratación Pública y el Artículo 110; 116 y 117 de su Reglamento.</w:t>
      </w:r>
    </w:p>
    <w:p w14:paraId="30322652"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0EF4F454" w14:textId="77777777" w:rsidR="00BD55DE" w:rsidRPr="00C85C82" w:rsidRDefault="00A33DDC" w:rsidP="00533DC0">
      <w:pPr>
        <w:spacing w:after="0" w:line="240" w:lineRule="auto"/>
        <w:jc w:val="both"/>
        <w:rPr>
          <w:rFonts w:ascii="HendersonSansW00-BasicLight" w:eastAsia="Garamond" w:hAnsi="HendersonSansW00-BasicLight" w:cs="Garamond"/>
          <w:b/>
        </w:rPr>
      </w:pPr>
      <w:r w:rsidRPr="00C85C82">
        <w:rPr>
          <w:rFonts w:ascii="HendersonSansW00-BasicLight" w:eastAsia="Garamond" w:hAnsi="HendersonSansW00-BasicLight" w:cs="Garamond"/>
          <w:b/>
        </w:rPr>
        <w:t>8.1 MULTAS</w:t>
      </w:r>
    </w:p>
    <w:p w14:paraId="664DFA81"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58900559" w14:textId="633EE720"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u w:val="single"/>
        </w:rPr>
        <w:t>Si existiera atraso</w:t>
      </w:r>
      <w:r w:rsidRPr="00C85C82">
        <w:rPr>
          <w:rFonts w:ascii="HendersonSansW00-BasicLight" w:eastAsia="Garamond" w:hAnsi="HendersonSansW00-BasicLight" w:cs="Garamond"/>
          <w:u w:val="single"/>
        </w:rPr>
        <w:t xml:space="preserve"> </w:t>
      </w:r>
      <w:r w:rsidRPr="00C85C82">
        <w:rPr>
          <w:rFonts w:ascii="HendersonSansW00-BasicLight" w:eastAsia="Garamond" w:hAnsi="HendersonSansW00-BasicLight" w:cs="Garamond"/>
          <w:b/>
          <w:u w:val="single"/>
        </w:rPr>
        <w:t>imputable al Adjudicatario</w:t>
      </w:r>
      <w:r w:rsidRPr="00C85C82">
        <w:rPr>
          <w:rFonts w:ascii="HendersonSansW00-BasicLight" w:eastAsia="Garamond" w:hAnsi="HendersonSansW00-BasicLight" w:cs="Garamond"/>
        </w:rPr>
        <w:t xml:space="preserve"> en la entrega de los informes, este pagará por concepto de multa la suma de 0.5% (punto cinco por ciento) del monto a cancelar correspondiente al avance que sufre la entrega tardía, por cada día hábil de atraso (con respecto al plazo de entrega señalado en este </w:t>
      </w:r>
      <w:r w:rsidRPr="00C85C82">
        <w:rPr>
          <w:rFonts w:ascii="HendersonSansW00-BasicLight" w:eastAsia="Garamond" w:hAnsi="HendersonSansW00-BasicLight" w:cs="Garamond"/>
          <w:b/>
        </w:rPr>
        <w:t>CARTEL</w:t>
      </w:r>
      <w:r w:rsidRPr="00C85C82">
        <w:rPr>
          <w:rFonts w:ascii="HendersonSansW00-BasicLight" w:eastAsia="Garamond" w:hAnsi="HendersonSansW00-BasicLight" w:cs="Garamond"/>
        </w:rPr>
        <w:t xml:space="preserve">), hasta un máximo del </w:t>
      </w:r>
      <w:r w:rsidR="00273032" w:rsidRPr="00C85C82">
        <w:rPr>
          <w:rFonts w:ascii="HendersonSansW00-BasicLight" w:eastAsia="Garamond" w:hAnsi="HendersonSansW00-BasicLight" w:cs="Garamond"/>
        </w:rPr>
        <w:t>2</w:t>
      </w:r>
      <w:r w:rsidRPr="00C85C82">
        <w:rPr>
          <w:rFonts w:ascii="HendersonSansW00-BasicLight" w:eastAsia="Garamond" w:hAnsi="HendersonSansW00-BasicLight" w:cs="Garamond"/>
        </w:rPr>
        <w:t>5% (</w:t>
      </w:r>
      <w:r w:rsidR="00273032" w:rsidRPr="00C85C82">
        <w:rPr>
          <w:rFonts w:ascii="HendersonSansW00-BasicLight" w:eastAsia="Garamond" w:hAnsi="HendersonSansW00-BasicLight" w:cs="Garamond"/>
        </w:rPr>
        <w:t>veinticinco</w:t>
      </w:r>
      <w:r w:rsidRPr="00C85C82">
        <w:rPr>
          <w:rFonts w:ascii="HendersonSansW00-BasicLight" w:eastAsia="Garamond" w:hAnsi="HendersonSansW00-BasicLight" w:cs="Garamond"/>
        </w:rPr>
        <w:t xml:space="preserve"> por ciento) del importe total </w:t>
      </w:r>
      <w:r w:rsidR="004148B6" w:rsidRPr="00C85C82">
        <w:rPr>
          <w:rFonts w:ascii="HendersonSansW00-BasicLight" w:eastAsia="Garamond" w:hAnsi="HendersonSansW00-BasicLight" w:cs="Garamond"/>
        </w:rPr>
        <w:t xml:space="preserve">de entrega tardía </w:t>
      </w:r>
      <w:r w:rsidRPr="00C85C82">
        <w:rPr>
          <w:rFonts w:ascii="HendersonSansW00-BasicLight" w:eastAsia="Garamond" w:hAnsi="HendersonSansW00-BasicLight" w:cs="Garamond"/>
        </w:rPr>
        <w:t xml:space="preserve">del </w:t>
      </w:r>
      <w:r w:rsidR="004148B6" w:rsidRPr="00C85C82">
        <w:rPr>
          <w:rFonts w:ascii="HendersonSansW00-BasicLight" w:eastAsia="Garamond" w:hAnsi="HendersonSansW00-BasicLight" w:cs="Garamond"/>
        </w:rPr>
        <w:t>producto</w:t>
      </w:r>
      <w:r w:rsidRPr="00C85C82">
        <w:rPr>
          <w:rFonts w:ascii="HendersonSansW00-BasicLight" w:eastAsia="Garamond" w:hAnsi="HendersonSansW00-BasicLight" w:cs="Garamond"/>
        </w:rPr>
        <w:t>, momento en el cual se tendrá por definitivo el incumplimiento contractual.</w:t>
      </w:r>
    </w:p>
    <w:p w14:paraId="282A030C"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6EC3A36C" w14:textId="77777777" w:rsidR="00BD55DE" w:rsidRPr="00C85C82" w:rsidRDefault="00A33DDC" w:rsidP="00533DC0">
      <w:pPr>
        <w:spacing w:after="0" w:line="240" w:lineRule="auto"/>
        <w:jc w:val="both"/>
        <w:rPr>
          <w:rFonts w:ascii="HendersonSansW00-BasicLight" w:eastAsia="Garamond" w:hAnsi="HendersonSansW00-BasicLight" w:cs="Garamond"/>
          <w:b/>
        </w:rPr>
      </w:pPr>
      <w:r w:rsidRPr="00C85C82">
        <w:rPr>
          <w:rFonts w:ascii="HendersonSansW00-BasicLight" w:eastAsia="Garamond" w:hAnsi="HendersonSansW00-BasicLight" w:cs="Garamond"/>
          <w:b/>
        </w:rPr>
        <w:t>8.2 CLÁUSULA PENAL</w:t>
      </w:r>
    </w:p>
    <w:p w14:paraId="62614BAF" w14:textId="77777777" w:rsidR="00BD55DE" w:rsidRPr="00C85C82" w:rsidRDefault="00BD55DE" w:rsidP="00533DC0">
      <w:pPr>
        <w:spacing w:after="0" w:line="240" w:lineRule="auto"/>
        <w:jc w:val="both"/>
        <w:rPr>
          <w:rFonts w:ascii="HendersonSansW00-BasicLight" w:eastAsia="Garamond" w:hAnsi="HendersonSansW00-BasicLight" w:cs="Garamond"/>
          <w:b/>
        </w:rPr>
      </w:pPr>
    </w:p>
    <w:p w14:paraId="49A176AE" w14:textId="7104694A"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En caso de incumplimiento total de las obligaciones por parte del adjudicado, no procede el cobro de las multas, sino la ejecución de la garantía de cumplimiento y la adopción de cualquier otra medida que resulte necesaria.</w:t>
      </w:r>
    </w:p>
    <w:p w14:paraId="5252BF96"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4B8CB72E" w14:textId="77777777" w:rsidR="00BD55DE" w:rsidRPr="00C85C82" w:rsidRDefault="00A33DDC" w:rsidP="00533DC0">
      <w:pPr>
        <w:spacing w:after="0" w:line="240" w:lineRule="auto"/>
        <w:jc w:val="both"/>
        <w:rPr>
          <w:rFonts w:ascii="HendersonSansW00-BasicLight" w:eastAsia="Garamond" w:hAnsi="HendersonSansW00-BasicLight" w:cs="Garamond"/>
          <w:b/>
        </w:rPr>
      </w:pPr>
      <w:bookmarkStart w:id="11" w:name="_heading=h.lnxbz9" w:colFirst="0" w:colLast="0"/>
      <w:bookmarkEnd w:id="11"/>
      <w:r w:rsidRPr="00C85C82">
        <w:rPr>
          <w:rFonts w:ascii="HendersonSansW00-BasicLight" w:eastAsia="Garamond" w:hAnsi="HendersonSansW00-BasicLight" w:cs="Garamond"/>
          <w:b/>
        </w:rPr>
        <w:t>8.3 GARANTÍA DE CUMPLIMIENTO</w:t>
      </w:r>
    </w:p>
    <w:p w14:paraId="705C49CF"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4F9D97EE" w14:textId="31FB4309" w:rsidR="00BD55DE" w:rsidRPr="00C85C82" w:rsidRDefault="00A33DDC"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Tal como lo establece el artículo 110 del Reglamento a la Ley General de Contratación Pública, el adjudicado tendrá que rendir una garantía de cumplimiento del 5% del total adjudicado, la misma será para resarcir cualquier incumplimiento que se presente por parte del adjudicado. De darse el recibido a satisfacción de la contratación, la misma será devuelta según lo estipula la Normativa en </w:t>
      </w:r>
      <w:r w:rsidRPr="00C85C82">
        <w:rPr>
          <w:rFonts w:ascii="HendersonSansW00-BasicLight" w:eastAsia="Garamond" w:hAnsi="HendersonSansW00-BasicLight" w:cs="Garamond"/>
        </w:rPr>
        <w:lastRenderedPageBreak/>
        <w:t xml:space="preserve">Contratación Administrativa. VIGENCIA MÍNIMA DE 18 MESES. Las cuentas bancarias para el depósito de la garantía de cumplimiento en caso de ser adjudicado serán las siguientes: </w:t>
      </w:r>
      <w:r w:rsidR="00A12D11" w:rsidRPr="00FB6B81">
        <w:rPr>
          <w:rFonts w:ascii="HendersonSansW00-BasicLight" w:eastAsia="Garamond" w:hAnsi="HendersonSansW00-BasicLight" w:cs="Garamond"/>
        </w:rPr>
        <w:t xml:space="preserve">Las cuentas bancarias para el depósito de la garantía de cumplimiento en caso de ser adjudicado serán las siguientes: Banco Nacional </w:t>
      </w:r>
      <w:r w:rsidR="00FB6B81" w:rsidRPr="00FB6B81">
        <w:rPr>
          <w:rFonts w:ascii="HendersonSansW00-BasicLight" w:eastAsia="Garamond" w:hAnsi="HendersonSansW00-BasicLight" w:cs="Garamond"/>
        </w:rPr>
        <w:t>de Costa Rica cuenta IBAN CR77015103810010016400</w:t>
      </w:r>
      <w:r w:rsidR="00A12D11" w:rsidRPr="00FB6B81">
        <w:rPr>
          <w:rFonts w:ascii="HendersonSansW00-BasicLight" w:eastAsia="Garamond" w:hAnsi="HendersonSansW00-BasicLight" w:cs="Garamond"/>
        </w:rPr>
        <w:t xml:space="preserve"> en colones</w:t>
      </w:r>
      <w:r w:rsidR="00FB6B81">
        <w:rPr>
          <w:rFonts w:ascii="Cambria" w:eastAsia="Garamond" w:hAnsi="Cambria" w:cs="Cambria"/>
        </w:rPr>
        <w:t xml:space="preserve">, </w:t>
      </w:r>
      <w:r w:rsidR="00A12D11" w:rsidRPr="00FB6B81">
        <w:rPr>
          <w:rFonts w:ascii="HendersonSansW00-BasicLight" w:eastAsia="Garamond" w:hAnsi="HendersonSansW00-BasicLight" w:cs="Garamond"/>
        </w:rPr>
        <w:t>a nombre de</w:t>
      </w:r>
      <w:r w:rsidR="00FB6B81" w:rsidRPr="00FB6B81">
        <w:rPr>
          <w:rFonts w:ascii="HendersonSansW00-BasicLight" w:eastAsia="Garamond" w:hAnsi="HendersonSansW00-BasicLight" w:cs="Garamond"/>
        </w:rPr>
        <w:t xml:space="preserve"> Municipalidad de Buenos Aires</w:t>
      </w:r>
      <w:r w:rsidR="00A12D11" w:rsidRPr="00FB6B81">
        <w:rPr>
          <w:rFonts w:ascii="HendersonSansW00-BasicLight" w:eastAsia="Garamond" w:hAnsi="HendersonSansW00-BasicLight" w:cs="Garamond"/>
        </w:rPr>
        <w:t>.</w:t>
      </w:r>
    </w:p>
    <w:p w14:paraId="2FF5ECAE" w14:textId="77777777" w:rsidR="00E17DF8" w:rsidRPr="00C85C82" w:rsidRDefault="00E17DF8"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6BDA5F39" w14:textId="08858E15" w:rsidR="00BD55DE" w:rsidRPr="00C85C82" w:rsidRDefault="00A33DDC"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No se aceptarán para tal fin los seguros de caución.  </w:t>
      </w:r>
    </w:p>
    <w:p w14:paraId="06A86EF5" w14:textId="77777777" w:rsidR="00E17DF8" w:rsidRPr="00C85C82" w:rsidRDefault="00E17DF8"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3383FEC6" w14:textId="3DAC95D9" w:rsidR="00BD55DE" w:rsidRDefault="00A33DDC"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Para la devolución de la Garantía de Cumplimiento, el interesado deberá presentar ante </w:t>
      </w:r>
      <w:r w:rsidR="00533DC0">
        <w:rPr>
          <w:rFonts w:ascii="HendersonSansW00-BasicLight" w:eastAsia="Garamond" w:hAnsi="HendersonSansW00-BasicLight" w:cs="Garamond"/>
        </w:rPr>
        <w:t xml:space="preserve">la </w:t>
      </w:r>
      <w:r w:rsidR="00533DC0" w:rsidRPr="00533DC0">
        <w:rPr>
          <w:rFonts w:ascii="HendersonSansW00-BasicLight" w:eastAsia="Garamond" w:hAnsi="HendersonSansW00-BasicLight" w:cs="Garamond"/>
          <w:b/>
        </w:rPr>
        <w:t>ADMINISTRACIÓN</w:t>
      </w:r>
      <w:r w:rsidRPr="00533DC0">
        <w:rPr>
          <w:rFonts w:ascii="HendersonSansW00-BasicLight" w:eastAsia="Garamond" w:hAnsi="HendersonSansW00-BasicLight" w:cs="Garamond"/>
          <w:b/>
        </w:rPr>
        <w:t>,</w:t>
      </w:r>
      <w:r w:rsidRPr="00C85C82">
        <w:rPr>
          <w:rFonts w:ascii="HendersonSansW00-BasicLight" w:eastAsia="Garamond" w:hAnsi="HendersonSansW00-BasicLight" w:cs="Garamond"/>
        </w:rPr>
        <w:t xml:space="preserve"> solicitud formal de devolución, firmada por la persona que tenga la capacidad legal para hacerlo, consignando el nombre, calidades de la persona autorizada para realizar la gestión de devolución, cuentas para realizar el depósito.</w:t>
      </w:r>
    </w:p>
    <w:p w14:paraId="3C4E7567" w14:textId="3A24CD31" w:rsidR="00885FC1" w:rsidRDefault="00885FC1" w:rsidP="00533DC0">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3112CFC6" w14:textId="77777777" w:rsidR="00BD55DE" w:rsidRPr="00C85C82" w:rsidRDefault="00A33DDC" w:rsidP="00533DC0">
      <w:pPr>
        <w:keepNext/>
        <w:numPr>
          <w:ilvl w:val="0"/>
          <w:numId w:val="8"/>
        </w:numPr>
        <w:tabs>
          <w:tab w:val="left" w:pos="-720"/>
        </w:tabs>
        <w:spacing w:after="0" w:line="240" w:lineRule="auto"/>
        <w:ind w:left="709"/>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RETENCIÓN</w:t>
      </w:r>
    </w:p>
    <w:p w14:paraId="39B9AA15"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0035A813" w14:textId="3AB68732" w:rsidR="005C40FF" w:rsidRDefault="008F5A55" w:rsidP="00533DC0">
      <w:pPr>
        <w:spacing w:after="0" w:line="240" w:lineRule="auto"/>
        <w:jc w:val="both"/>
        <w:rPr>
          <w:rFonts w:ascii="HendersonSansW00-BasicLight" w:eastAsia="Garamond" w:hAnsi="HendersonSansW00-BasicLight" w:cs="Garamond"/>
        </w:rPr>
      </w:pPr>
      <w:r w:rsidRPr="008F5A55">
        <w:rPr>
          <w:rFonts w:ascii="HendersonSansW00-BasicLight" w:eastAsia="Garamond" w:hAnsi="HendersonSansW00-BasicLight" w:cs="Garamond"/>
        </w:rPr>
        <w:t>De cada desembolso se retendrá un quince por ciento (15%). El monto retenido se acumulará y se girará al OFERENTE dentro de los treinta (30) días siguientes a que el AyA haya aprobado los estudios técnicos de los cinco informes parciales y la COMISIÓN DE SUPERVISIÓN TÉCNICA haya recibido a satisfacción el informe final.</w:t>
      </w:r>
    </w:p>
    <w:p w14:paraId="0AE36A62" w14:textId="77777777" w:rsidR="008F5A55" w:rsidRDefault="008F5A55" w:rsidP="00533DC0">
      <w:pPr>
        <w:spacing w:after="0" w:line="240" w:lineRule="auto"/>
        <w:jc w:val="both"/>
        <w:rPr>
          <w:rFonts w:ascii="HendersonSansW00-BasicLight" w:eastAsia="Garamond" w:hAnsi="HendersonSansW00-BasicLight" w:cs="Garamond"/>
        </w:rPr>
      </w:pPr>
    </w:p>
    <w:p w14:paraId="1558B86C" w14:textId="4158ED74" w:rsidR="005C40FF" w:rsidRPr="005C40FF" w:rsidRDefault="005C40FF" w:rsidP="00533DC0">
      <w:pPr>
        <w:pStyle w:val="Prrafodelista"/>
        <w:keepNext/>
        <w:numPr>
          <w:ilvl w:val="0"/>
          <w:numId w:val="8"/>
        </w:numPr>
        <w:tabs>
          <w:tab w:val="left" w:pos="-720"/>
        </w:tabs>
        <w:spacing w:after="0" w:line="240" w:lineRule="auto"/>
        <w:ind w:left="709" w:hanging="709"/>
        <w:jc w:val="both"/>
        <w:rPr>
          <w:rFonts w:ascii="HendersonSansW00-BasicLight" w:eastAsia="Garamond" w:hAnsi="HendersonSansW00-BasicLight" w:cs="Garamond"/>
          <w:b/>
          <w:color w:val="000000"/>
        </w:rPr>
      </w:pPr>
      <w:r w:rsidRPr="005C40FF">
        <w:rPr>
          <w:rFonts w:ascii="HendersonSansW00-BasicLight" w:eastAsia="Garamond" w:hAnsi="HendersonSansW00-BasicLight" w:cs="Garamond"/>
          <w:b/>
          <w:color w:val="000000"/>
        </w:rPr>
        <w:t>IMPUESTO SOBRE LAS UTILIDADES Y REMESAS AL EXTERIOR</w:t>
      </w:r>
    </w:p>
    <w:p w14:paraId="07A7D0AB" w14:textId="34F1D7EB" w:rsidR="005C40FF" w:rsidRPr="005C40FF" w:rsidRDefault="005C40FF" w:rsidP="00533DC0">
      <w:pPr>
        <w:spacing w:before="240" w:line="240" w:lineRule="auto"/>
        <w:jc w:val="both"/>
        <w:rPr>
          <w:rFonts w:ascii="HendersonSansW00-BasicLight" w:eastAsia="Garamond" w:hAnsi="HendersonSansW00-BasicLight" w:cs="Garamond"/>
        </w:rPr>
      </w:pPr>
      <w:r w:rsidRPr="005C40FF">
        <w:rPr>
          <w:rFonts w:ascii="HendersonSansW00-BasicLight" w:eastAsia="Garamond" w:hAnsi="HendersonSansW00-BasicLight" w:cs="Garamond"/>
        </w:rPr>
        <w:t>De acuerdo con los linea</w:t>
      </w:r>
      <w:r w:rsidR="00281B2D">
        <w:rPr>
          <w:rFonts w:ascii="HendersonSansW00-BasicLight" w:eastAsia="Garamond" w:hAnsi="HendersonSansW00-BasicLight" w:cs="Garamond"/>
        </w:rPr>
        <w:t>mientos establecidos en la Ley N</w:t>
      </w:r>
      <w:r w:rsidRPr="005C40FF">
        <w:rPr>
          <w:rFonts w:ascii="HendersonSansW00-BasicLight" w:eastAsia="Garamond" w:hAnsi="HendersonSansW00-BasicLight" w:cs="Garamond"/>
        </w:rPr>
        <w:t xml:space="preserve">°7092 sobre el Impuesto de la Renta, se practicará una retención del 2% (dos por ciento) sobre cada desembolso a oferentes nacionales con domicilio en el país, por el impuesto a las utilidades. Asimismo, en el caso de oferentes internacionales no domiciliados en el país, se practicará una retención del 25% (veinticinco por ciento) sobre cada desembolso, por impuesto sobre remesas al exterior. </w:t>
      </w:r>
    </w:p>
    <w:p w14:paraId="5DB21EE9" w14:textId="77777777" w:rsidR="005C40FF" w:rsidRPr="00C85C82" w:rsidRDefault="005C40FF" w:rsidP="00533DC0">
      <w:pPr>
        <w:spacing w:after="0" w:line="240" w:lineRule="auto"/>
        <w:jc w:val="both"/>
        <w:rPr>
          <w:rFonts w:ascii="HendersonSansW00-BasicLight" w:eastAsia="Garamond" w:hAnsi="HendersonSansW00-BasicLight" w:cs="Garamond"/>
        </w:rPr>
      </w:pPr>
    </w:p>
    <w:p w14:paraId="0F1957B5" w14:textId="77F50E29"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bookmarkStart w:id="12" w:name="_heading=h.1ksv4uv" w:colFirst="0" w:colLast="0"/>
      <w:bookmarkEnd w:id="12"/>
      <w:r w:rsidRPr="00C85C82">
        <w:rPr>
          <w:rFonts w:ascii="HendersonSansW00-BasicLight" w:eastAsia="Garamond" w:hAnsi="HendersonSansW00-BasicLight" w:cs="Garamond"/>
          <w:b/>
          <w:color w:val="000000"/>
        </w:rPr>
        <w:t>DOCUMENTOS QUE SE DEBEN APORTAR PARA L</w:t>
      </w:r>
      <w:r w:rsidR="00533DC0">
        <w:rPr>
          <w:rFonts w:ascii="HendersonSansW00-BasicLight" w:eastAsia="Garamond" w:hAnsi="HendersonSansW00-BasicLight" w:cs="Garamond"/>
          <w:b/>
          <w:color w:val="000000"/>
        </w:rPr>
        <w:t>A PRESELECCIÓN DE LOS OFERENTES</w:t>
      </w:r>
    </w:p>
    <w:p w14:paraId="5A468635" w14:textId="77777777" w:rsidR="00BD55DE" w:rsidRPr="00C85C82" w:rsidRDefault="00BD55DE" w:rsidP="00533DC0">
      <w:pPr>
        <w:spacing w:after="0" w:line="240" w:lineRule="auto"/>
        <w:rPr>
          <w:rFonts w:ascii="HendersonSansW00-BasicLight" w:hAnsi="HendersonSansW00-BasicLight"/>
        </w:rPr>
      </w:pPr>
    </w:p>
    <w:p w14:paraId="6F40354B" w14:textId="77777777" w:rsidR="007E2824" w:rsidRPr="007E2824" w:rsidRDefault="007E2824" w:rsidP="00533DC0">
      <w:p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Para la evaluación de la elegibilidad de los </w:t>
      </w:r>
      <w:r w:rsidRPr="007E2824">
        <w:rPr>
          <w:rFonts w:ascii="HendersonSansW00-BasicLight" w:eastAsia="Garamond" w:hAnsi="HendersonSansW00-BasicLight" w:cs="Garamond"/>
          <w:b/>
        </w:rPr>
        <w:t>OFERENTES</w:t>
      </w:r>
      <w:r w:rsidRPr="007E2824">
        <w:rPr>
          <w:rFonts w:ascii="HendersonSansW00-BasicLight" w:eastAsia="Garamond" w:hAnsi="HendersonSansW00-BasicLight" w:cs="Garamond"/>
        </w:rPr>
        <w:t xml:space="preserve"> estos deberán aportar los documentos que contienen la información solicitada y los que se detallan a continuación:</w:t>
      </w:r>
    </w:p>
    <w:p w14:paraId="0D496AD2" w14:textId="77777777" w:rsidR="007E2824" w:rsidRPr="007E2824" w:rsidRDefault="007E2824" w:rsidP="00533DC0">
      <w:pPr>
        <w:spacing w:after="0" w:line="240" w:lineRule="auto"/>
        <w:jc w:val="both"/>
        <w:rPr>
          <w:rFonts w:ascii="HendersonSansW00-BasicLight" w:eastAsia="Garamond" w:hAnsi="HendersonSansW00-BasicLight" w:cs="Garamond"/>
        </w:rPr>
      </w:pPr>
    </w:p>
    <w:p w14:paraId="5493B568"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El </w:t>
      </w:r>
      <w:r w:rsidRPr="007E2824">
        <w:rPr>
          <w:rFonts w:ascii="HendersonSansW00-BasicLight" w:eastAsia="Garamond" w:hAnsi="HendersonSansW00-BasicLight" w:cs="Garamond"/>
          <w:b/>
        </w:rPr>
        <w:t>OFERENTE</w:t>
      </w:r>
      <w:r w:rsidRPr="007E2824">
        <w:rPr>
          <w:rFonts w:ascii="HendersonSansW00-BasicLight" w:eastAsia="Garamond" w:hAnsi="HendersonSansW00-BasicLight" w:cs="Garamond"/>
        </w:rPr>
        <w:t xml:space="preserve"> debe aportar la información solicitada en el Anexo No.1, Anexo No.2 y Anexo No.3.</w:t>
      </w:r>
    </w:p>
    <w:p w14:paraId="41A33CAF" w14:textId="603E99EC"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Para </w:t>
      </w:r>
      <w:r w:rsidRPr="007E2824">
        <w:rPr>
          <w:rFonts w:ascii="HendersonSansW00-BasicLight" w:eastAsia="Garamond" w:hAnsi="HendersonSansW00-BasicLight" w:cs="Garamond"/>
          <w:b/>
          <w:bCs/>
        </w:rPr>
        <w:t>OFERENTES</w:t>
      </w:r>
      <w:r w:rsidRPr="007E2824">
        <w:rPr>
          <w:rFonts w:ascii="HendersonSansW00-BasicLight" w:eastAsia="Garamond" w:hAnsi="HendersonSansW00-BasicLight" w:cs="Garamond"/>
        </w:rPr>
        <w:t xml:space="preserve"> nacionales</w:t>
      </w:r>
      <w:r>
        <w:rPr>
          <w:rFonts w:ascii="HendersonSansW00-BasicLight" w:eastAsia="Garamond" w:hAnsi="HendersonSansW00-BasicLight" w:cs="Garamond"/>
        </w:rPr>
        <w:t xml:space="preserve"> o domiciliados en el país</w:t>
      </w:r>
      <w:r w:rsidRPr="007E2824">
        <w:rPr>
          <w:rFonts w:ascii="HendersonSansW00-BasicLight" w:eastAsia="Garamond" w:hAnsi="HendersonSansW00-BasicLight" w:cs="Garamond"/>
        </w:rPr>
        <w:t xml:space="preserve">, la Oferta Técnica digital de primera fase deberá presentarse en formato PDF y firmada digitalmente por el Representante Legal del </w:t>
      </w:r>
      <w:r w:rsidRPr="007E2824">
        <w:rPr>
          <w:rFonts w:ascii="HendersonSansW00-BasicLight" w:eastAsia="Garamond" w:hAnsi="HendersonSansW00-BasicLight" w:cs="Garamond"/>
          <w:b/>
          <w:bCs/>
        </w:rPr>
        <w:t>OFERENTE</w:t>
      </w:r>
      <w:r w:rsidRPr="007E2824">
        <w:rPr>
          <w:rFonts w:ascii="HendersonSansW00-BasicLight" w:eastAsia="Garamond" w:hAnsi="HendersonSansW00-BasicLight" w:cs="Garamond"/>
        </w:rPr>
        <w:t xml:space="preserve"> de acuerdo a lo establecido en la Ley de Certificados, Firmas Digitales y Documentos Electrónicos Nº 8454. </w:t>
      </w:r>
    </w:p>
    <w:p w14:paraId="2E5BE09D" w14:textId="69C4FF06"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Para </w:t>
      </w:r>
      <w:r w:rsidRPr="007E2824">
        <w:rPr>
          <w:rFonts w:ascii="HendersonSansW00-BasicLight" w:eastAsia="Garamond" w:hAnsi="HendersonSansW00-BasicLight" w:cs="Garamond"/>
          <w:b/>
          <w:bCs/>
        </w:rPr>
        <w:t>OFERENTES</w:t>
      </w:r>
      <w:r w:rsidRPr="007E2824">
        <w:rPr>
          <w:rFonts w:ascii="HendersonSansW00-BasicLight" w:eastAsia="Garamond" w:hAnsi="HendersonSansW00-BasicLight" w:cs="Garamond"/>
        </w:rPr>
        <w:t xml:space="preserve"> internacionales</w:t>
      </w:r>
      <w:r>
        <w:rPr>
          <w:rFonts w:ascii="HendersonSansW00-BasicLight" w:eastAsia="Garamond" w:hAnsi="HendersonSansW00-BasicLight" w:cs="Garamond"/>
        </w:rPr>
        <w:t xml:space="preserve"> no domiciliados</w:t>
      </w:r>
      <w:r w:rsidRPr="007E2824">
        <w:rPr>
          <w:rFonts w:ascii="HendersonSansW00-BasicLight" w:eastAsia="Garamond" w:hAnsi="HendersonSansW00-BasicLight" w:cs="Garamond"/>
        </w:rPr>
        <w:t xml:space="preserve">, la Oferta Técnica digital de primera fase deberá presentarse en formato PDF y firmada digitalmente por el Representante Legal del </w:t>
      </w:r>
      <w:r w:rsidRPr="007E2824">
        <w:rPr>
          <w:rFonts w:ascii="HendersonSansW00-BasicLight" w:eastAsia="Garamond" w:hAnsi="HendersonSansW00-BasicLight" w:cs="Garamond"/>
          <w:b/>
          <w:bCs/>
        </w:rPr>
        <w:t>OFERENTE</w:t>
      </w:r>
      <w:r w:rsidRPr="007E2824">
        <w:rPr>
          <w:rFonts w:ascii="HendersonSansW00-BasicLight" w:eastAsia="Garamond" w:hAnsi="HendersonSansW00-BasicLight" w:cs="Garamond"/>
        </w:rPr>
        <w:t>. Se permite a las empresas internacionales utilizar plataformas digitales que certifiquen la validez de la firma (por ejemplo, SignNow, Global Sign, u otras).</w:t>
      </w:r>
    </w:p>
    <w:p w14:paraId="15C4B51D" w14:textId="32DBF74C"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Carta de presentación del </w:t>
      </w:r>
      <w:r w:rsidR="00281B2D" w:rsidRPr="00281B2D">
        <w:rPr>
          <w:rFonts w:ascii="HendersonSansW00-BasicLight" w:eastAsia="Garamond" w:hAnsi="HendersonSansW00-BasicLight" w:cs="Garamond"/>
          <w:b/>
        </w:rPr>
        <w:t>OFERENTE</w:t>
      </w:r>
      <w:r w:rsidRPr="007E2824">
        <w:rPr>
          <w:rFonts w:ascii="HendersonSansW00-BasicLight" w:eastAsia="Garamond" w:hAnsi="HendersonSansW00-BasicLight" w:cs="Garamond"/>
        </w:rPr>
        <w:t>.</w:t>
      </w:r>
    </w:p>
    <w:p w14:paraId="3664D75A"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Declaración Jurada sobre conocimiento y acatamiento de toda la normativa atinente a este tipo de concursos, firmada por el representante legal de la empresa.</w:t>
      </w:r>
    </w:p>
    <w:p w14:paraId="55A66BEA"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lastRenderedPageBreak/>
        <w:t>Vigencia de la Oferta Técnica digital de primera fase: Deberá tener una vigencia de 70 días hábiles.</w:t>
      </w:r>
    </w:p>
    <w:p w14:paraId="6C86D023"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Información adicional, aclaraciones y excepciones que el </w:t>
      </w:r>
      <w:r w:rsidRPr="007E2824">
        <w:rPr>
          <w:rFonts w:ascii="HendersonSansW00-BasicLight" w:eastAsia="Garamond" w:hAnsi="HendersonSansW00-BasicLight" w:cs="Garamond"/>
          <w:b/>
        </w:rPr>
        <w:t>OFERENTE</w:t>
      </w:r>
      <w:r w:rsidRPr="007E2824">
        <w:rPr>
          <w:rFonts w:ascii="HendersonSansW00-BasicLight" w:eastAsia="Garamond" w:hAnsi="HendersonSansW00-BasicLight" w:cs="Garamond"/>
        </w:rPr>
        <w:t xml:space="preserve"> considere necesario.</w:t>
      </w:r>
    </w:p>
    <w:p w14:paraId="0AEBD0A5"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Comentarios sobre los Términos de Referencia, si los tuviera.</w:t>
      </w:r>
    </w:p>
    <w:p w14:paraId="13AFFC39"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color w:val="000000"/>
        </w:rPr>
      </w:pPr>
      <w:r w:rsidRPr="007E2824">
        <w:rPr>
          <w:rFonts w:ascii="HendersonSansW00-BasicLight" w:eastAsia="Garamond" w:hAnsi="HendersonSansW00-BasicLight" w:cs="Garamond"/>
          <w:color w:val="000000"/>
        </w:rPr>
        <w:t xml:space="preserve">Información Financiera del </w:t>
      </w:r>
      <w:r w:rsidRPr="007E2824">
        <w:rPr>
          <w:rFonts w:ascii="HendersonSansW00-BasicLight" w:eastAsia="Garamond" w:hAnsi="HendersonSansW00-BasicLight" w:cs="Garamond"/>
          <w:b/>
          <w:color w:val="000000"/>
        </w:rPr>
        <w:t>OFERENTE</w:t>
      </w:r>
      <w:r w:rsidRPr="007E2824">
        <w:rPr>
          <w:rFonts w:ascii="HendersonSansW00-BasicLight" w:eastAsia="Garamond" w:hAnsi="HendersonSansW00-BasicLight" w:cs="Garamond"/>
          <w:color w:val="000000"/>
        </w:rPr>
        <w:t>, mediante la presentación de los Estados Financieros Certificados por el contador de la empresa de los dos últimos periodos, dichos estados deberán contener al menos: Estado Consolidado de flujo efectivo, Balance General consolidado, Estado consolidado de resultados, Estado consolidado de cambio en el patrimonio, entre otros.</w:t>
      </w:r>
    </w:p>
    <w:p w14:paraId="616BC59C" w14:textId="77777777" w:rsidR="007E2824" w:rsidRPr="007E2824" w:rsidRDefault="007E2824" w:rsidP="001F666B">
      <w:pPr>
        <w:numPr>
          <w:ilvl w:val="0"/>
          <w:numId w:val="42"/>
        </w:numPr>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El </w:t>
      </w:r>
      <w:r w:rsidRPr="007E2824">
        <w:rPr>
          <w:rFonts w:ascii="HendersonSansW00-BasicLight" w:eastAsia="Garamond" w:hAnsi="HendersonSansW00-BasicLight" w:cs="Garamond"/>
          <w:b/>
        </w:rPr>
        <w:t>OFERENTE</w:t>
      </w:r>
      <w:r w:rsidRPr="007E2824">
        <w:rPr>
          <w:rFonts w:ascii="HendersonSansW00-BasicLight" w:eastAsia="Garamond" w:hAnsi="HendersonSansW00-BasicLight" w:cs="Garamond"/>
        </w:rPr>
        <w:t xml:space="preserve"> deberá aportar copia del Acta constitutiva o documento válido del país de origen de la firma consultora, debidamente autenticada por un abogado. </w:t>
      </w:r>
    </w:p>
    <w:p w14:paraId="7E88E6A2" w14:textId="5505ED6F" w:rsidR="007E2824" w:rsidRPr="007E2824" w:rsidRDefault="007E2824" w:rsidP="001F666B">
      <w:pPr>
        <w:numPr>
          <w:ilvl w:val="0"/>
          <w:numId w:val="42"/>
        </w:numPr>
        <w:tabs>
          <w:tab w:val="left" w:pos="708"/>
          <w:tab w:val="left" w:pos="1416"/>
          <w:tab w:val="left" w:pos="2124"/>
          <w:tab w:val="left" w:pos="2832"/>
          <w:tab w:val="left" w:pos="3540"/>
          <w:tab w:val="left" w:pos="4248"/>
          <w:tab w:val="left" w:pos="4905"/>
        </w:tabs>
        <w:spacing w:after="0" w:line="240" w:lineRule="auto"/>
        <w:jc w:val="both"/>
        <w:rPr>
          <w:rFonts w:ascii="HendersonSansW00-BasicLight" w:eastAsia="Garamond" w:hAnsi="HendersonSansW00-BasicLight" w:cs="Garamond"/>
        </w:rPr>
      </w:pPr>
      <w:r w:rsidRPr="007E2824">
        <w:rPr>
          <w:rFonts w:ascii="HendersonSansW00-BasicLight" w:eastAsia="Garamond" w:hAnsi="HendersonSansW00-BasicLight" w:cs="Garamond"/>
        </w:rPr>
        <w:t xml:space="preserve">El Representante Legal del </w:t>
      </w:r>
      <w:r w:rsidRPr="007E2824">
        <w:rPr>
          <w:rFonts w:ascii="HendersonSansW00-BasicLight" w:eastAsia="Garamond" w:hAnsi="HendersonSansW00-BasicLight" w:cs="Garamond"/>
          <w:b/>
          <w:bCs/>
        </w:rPr>
        <w:t>OFERENTE</w:t>
      </w:r>
      <w:r w:rsidRPr="007E2824">
        <w:rPr>
          <w:rFonts w:ascii="HendersonSansW00-BasicLight" w:eastAsia="Garamond" w:hAnsi="HendersonSansW00-BasicLight" w:cs="Garamond"/>
        </w:rPr>
        <w:t xml:space="preserve"> deberá emitir una declaración jurada firmada digitalmente sobre la autenticidad y veracidad de todos los documentos aportados y utilizados como comprobación de la Metodología para la calificación de las ofertas del anexo n°3 de este cartel. </w:t>
      </w:r>
    </w:p>
    <w:p w14:paraId="7031F597" w14:textId="77777777" w:rsidR="00BD55DE" w:rsidRPr="00C85C82" w:rsidRDefault="00BD55DE" w:rsidP="00533DC0">
      <w:pPr>
        <w:tabs>
          <w:tab w:val="left" w:pos="708"/>
          <w:tab w:val="left" w:pos="1416"/>
          <w:tab w:val="left" w:pos="2124"/>
          <w:tab w:val="left" w:pos="2832"/>
          <w:tab w:val="left" w:pos="3540"/>
          <w:tab w:val="left" w:pos="4248"/>
          <w:tab w:val="left" w:pos="4905"/>
        </w:tabs>
        <w:spacing w:after="0" w:line="240" w:lineRule="auto"/>
        <w:jc w:val="both"/>
        <w:rPr>
          <w:rFonts w:ascii="HendersonSansW00-BasicLight" w:eastAsia="Garamond" w:hAnsi="HendersonSansW00-BasicLight" w:cs="Garamond"/>
        </w:rPr>
      </w:pPr>
    </w:p>
    <w:p w14:paraId="47A7929F"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bookmarkStart w:id="13" w:name="_heading=h.44sinio" w:colFirst="0" w:colLast="0"/>
      <w:bookmarkEnd w:id="13"/>
      <w:r w:rsidRPr="00C85C82">
        <w:rPr>
          <w:rFonts w:ascii="HendersonSansW00-BasicLight" w:eastAsia="Garamond" w:hAnsi="HendersonSansW00-BasicLight" w:cs="Garamond"/>
          <w:b/>
          <w:color w:val="000000"/>
        </w:rPr>
        <w:t>SISTEMA DE VALORACIÓN Y COMPARACIÓN DE ANTECEDENTES</w:t>
      </w:r>
    </w:p>
    <w:p w14:paraId="02B0C5D7" w14:textId="77777777" w:rsidR="00BD55DE" w:rsidRPr="00C85C82" w:rsidRDefault="00BD55DE" w:rsidP="00533DC0">
      <w:pPr>
        <w:tabs>
          <w:tab w:val="left" w:pos="600"/>
        </w:tabs>
        <w:spacing w:after="0" w:line="240" w:lineRule="auto"/>
        <w:jc w:val="both"/>
        <w:rPr>
          <w:rFonts w:ascii="HendersonSansW00-BasicLight" w:eastAsia="Garamond" w:hAnsi="HendersonSansW00-BasicLight" w:cs="Garamond"/>
        </w:rPr>
      </w:pPr>
    </w:p>
    <w:p w14:paraId="52A2880B" w14:textId="77777777" w:rsidR="00BD55DE" w:rsidRPr="00C85C82" w:rsidRDefault="00A33DDC" w:rsidP="00533DC0">
      <w:pPr>
        <w:tabs>
          <w:tab w:val="left" w:pos="60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Se contará con una metodología normalizada para el análisis de la información que cada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presente, de tal manera que facilite la realización de una evaluación uniforme y transparente para la declaratoria de </w:t>
      </w:r>
      <w:r w:rsidRPr="009B4047">
        <w:rPr>
          <w:rFonts w:ascii="HendersonSansW00-BasicLight" w:eastAsia="Garamond" w:hAnsi="HendersonSansW00-BasicLight" w:cs="Garamond"/>
        </w:rPr>
        <w:t>elegibilidad. (Anexo No. 3).</w:t>
      </w:r>
      <w:r w:rsidRPr="00C85C82">
        <w:rPr>
          <w:rFonts w:ascii="HendersonSansW00-BasicLight" w:eastAsia="Garamond" w:hAnsi="HendersonSansW00-BasicLight" w:cs="Garamond"/>
        </w:rPr>
        <w:t xml:space="preserve"> Las etapas para la evaluación serán las siguientes;</w:t>
      </w:r>
    </w:p>
    <w:p w14:paraId="4049FE04"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71A2BF22" w14:textId="72878EB0" w:rsidR="00BD55DE" w:rsidRPr="00C85C82" w:rsidRDefault="00A33DDC" w:rsidP="00533DC0">
      <w:pPr>
        <w:numPr>
          <w:ilvl w:val="0"/>
          <w:numId w:val="1"/>
        </w:num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Se procederá con la apertura de todos los sobres en la fecha indicada, acto que se realizará una vez cumplido el plazo para la recepción de los </w:t>
      </w:r>
      <w:r w:rsidRPr="00C85C82">
        <w:rPr>
          <w:rFonts w:ascii="HendersonSansW00-BasicLight" w:eastAsia="Garamond" w:hAnsi="HendersonSansW00-BasicLight" w:cs="Garamond"/>
          <w:b/>
        </w:rPr>
        <w:t>ANTECEDENTES PRELIMINARES</w:t>
      </w:r>
      <w:r w:rsidRPr="00C85C82">
        <w:rPr>
          <w:rFonts w:ascii="HendersonSansW00-BasicLight" w:eastAsia="Garamond" w:hAnsi="HendersonSansW00-BasicLight" w:cs="Garamond"/>
        </w:rPr>
        <w:t xml:space="preserve">, en presencia de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que tengan a bien asistir. Por otra parte, la </w:t>
      </w:r>
      <w:r w:rsidR="004F51CA" w:rsidRPr="004F51CA">
        <w:rPr>
          <w:rFonts w:ascii="HendersonSansW00-BasicLight" w:eastAsia="Garamond" w:hAnsi="HendersonSansW00-BasicLight" w:cs="Garamond"/>
          <w:b/>
          <w:bCs/>
          <w:iCs/>
        </w:rPr>
        <w:t>ADMINISTRACI</w:t>
      </w:r>
      <w:r w:rsidR="004F51CA" w:rsidRPr="004F51CA">
        <w:rPr>
          <w:rFonts w:ascii="HendersonSansW00-BasicLight" w:eastAsia="Garamond" w:hAnsi="HendersonSansW00-BasicLight" w:cs="Garamond"/>
          <w:b/>
          <w:bCs/>
          <w:iCs/>
          <w:lang w:val="es-ES"/>
        </w:rPr>
        <w:t xml:space="preserve">ÓN </w:t>
      </w:r>
      <w:r w:rsidRPr="00C85C82">
        <w:rPr>
          <w:rFonts w:ascii="HendersonSansW00-BasicLight" w:eastAsia="Garamond" w:hAnsi="HendersonSansW00-BasicLight" w:cs="Garamond"/>
        </w:rPr>
        <w:t xml:space="preserve">levantará un acta con la información correspondiente de cualquier incidente relevante en el acto. </w:t>
      </w:r>
    </w:p>
    <w:p w14:paraId="0B8B79D6" w14:textId="2429DE99" w:rsidR="00BD55DE" w:rsidRPr="00C85C82" w:rsidRDefault="00A33DDC" w:rsidP="00533DC0">
      <w:pPr>
        <w:numPr>
          <w:ilvl w:val="0"/>
          <w:numId w:val="1"/>
        </w:num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La </w:t>
      </w:r>
      <w:r w:rsidRPr="00C85C82">
        <w:rPr>
          <w:rFonts w:ascii="HendersonSansW00-BasicLight" w:eastAsia="Garamond" w:hAnsi="HendersonSansW00-BasicLight" w:cs="Garamond"/>
          <w:b/>
        </w:rPr>
        <w:t>COMISIÓN CALIFICADORA</w:t>
      </w:r>
      <w:r w:rsidRPr="00C85C82">
        <w:rPr>
          <w:rFonts w:ascii="HendersonSansW00-BasicLight" w:eastAsia="Garamond" w:hAnsi="HendersonSansW00-BasicLight" w:cs="Garamond"/>
        </w:rPr>
        <w:t xml:space="preserve">, la cual llevará a cabo el proceso de análisis y evaluación de </w:t>
      </w:r>
      <w:r w:rsidRPr="00C85C82">
        <w:rPr>
          <w:rFonts w:ascii="HendersonSansW00-BasicLight" w:eastAsia="Garamond" w:hAnsi="HendersonSansW00-BasicLight" w:cs="Garamond"/>
          <w:b/>
        </w:rPr>
        <w:t>ANTECEDENTES PRELIMINARES</w:t>
      </w:r>
      <w:r w:rsidRPr="00C85C82">
        <w:rPr>
          <w:rFonts w:ascii="HendersonSansW00-BasicLight" w:eastAsia="Garamond" w:hAnsi="HendersonSansW00-BasicLight" w:cs="Garamond"/>
        </w:rPr>
        <w:t xml:space="preserve"> presentados y establecerá la condición de elegibilidad del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de acuerdo con el puntaje que obtenga y siguiendo para ello la metodología contenida en el </w:t>
      </w:r>
      <w:r w:rsidRPr="009B4047">
        <w:rPr>
          <w:rFonts w:ascii="HendersonSansW00-BasicLight" w:eastAsia="Garamond" w:hAnsi="HendersonSansW00-BasicLight" w:cs="Garamond"/>
        </w:rPr>
        <w:t>Anexo Nº 3.</w:t>
      </w:r>
      <w:r w:rsidRPr="00C85C82">
        <w:rPr>
          <w:rFonts w:ascii="HendersonSansW00-BasicLight" w:eastAsia="Garamond" w:hAnsi="HendersonSansW00-BasicLight" w:cs="Garamond"/>
        </w:rPr>
        <w:t xml:space="preserve"> Para efectos de control y seguimiento en las sesiones de trabajo, se levantará un acta por dicha Comisión.</w:t>
      </w:r>
    </w:p>
    <w:p w14:paraId="00CDAB3D" w14:textId="49496BC1" w:rsidR="00BD55DE" w:rsidRPr="00C85C82" w:rsidRDefault="00A33DDC" w:rsidP="00533DC0">
      <w:pPr>
        <w:numPr>
          <w:ilvl w:val="0"/>
          <w:numId w:val="1"/>
        </w:num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Con los resultados obtenidos por la </w:t>
      </w:r>
      <w:r w:rsidRPr="00C85C82">
        <w:rPr>
          <w:rFonts w:ascii="HendersonSansW00-BasicLight" w:eastAsia="Garamond" w:hAnsi="HendersonSansW00-BasicLight" w:cs="Garamond"/>
          <w:b/>
        </w:rPr>
        <w:t>COMISIÓN CALIFICADORA</w:t>
      </w:r>
      <w:r w:rsidRPr="00C85C82">
        <w:rPr>
          <w:rFonts w:ascii="HendersonSansW00-BasicLight" w:eastAsia="Garamond" w:hAnsi="HendersonSansW00-BasicLight" w:cs="Garamond"/>
        </w:rPr>
        <w:t xml:space="preserve">, la </w:t>
      </w:r>
      <w:r w:rsidR="00A8260C" w:rsidRPr="00A8260C">
        <w:rPr>
          <w:rFonts w:ascii="HendersonSansW00-BasicLight" w:eastAsia="Garamond" w:hAnsi="HendersonSansW00-BasicLight" w:cs="Garamond"/>
          <w:b/>
          <w:bCs/>
        </w:rPr>
        <w:t>ADMINISTRACIÓN</w:t>
      </w:r>
      <w:r w:rsidRPr="00C85C82">
        <w:rPr>
          <w:rFonts w:ascii="HendersonSansW00-BasicLight" w:eastAsia="Garamond" w:hAnsi="HendersonSansW00-BasicLight" w:cs="Garamond"/>
        </w:rPr>
        <w:t xml:space="preserve"> preparará un informe con la declaración de elegibles, para ser invitado en la segunda etapa.</w:t>
      </w:r>
    </w:p>
    <w:p w14:paraId="6D2EE1E1" w14:textId="77777777" w:rsidR="00BD55DE" w:rsidRPr="00C85C82" w:rsidRDefault="00BD55DE" w:rsidP="00533DC0">
      <w:pPr>
        <w:spacing w:after="0" w:line="240" w:lineRule="auto"/>
        <w:rPr>
          <w:rFonts w:ascii="HendersonSansW00-BasicLight" w:eastAsia="Garamond" w:hAnsi="HendersonSansW00-BasicLight" w:cs="Garamond"/>
          <w:b/>
        </w:rPr>
      </w:pPr>
    </w:p>
    <w:p w14:paraId="3A9C60B6"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bookmarkStart w:id="14" w:name="_heading=h.2jxsxqh" w:colFirst="0" w:colLast="0"/>
      <w:bookmarkEnd w:id="14"/>
      <w:r w:rsidRPr="00C85C82">
        <w:rPr>
          <w:rFonts w:ascii="HendersonSansW00-BasicLight" w:eastAsia="Garamond" w:hAnsi="HendersonSansW00-BasicLight" w:cs="Garamond"/>
          <w:b/>
          <w:color w:val="000000"/>
        </w:rPr>
        <w:t>FORMULACIÓN DE CONSULTAS Y ACLARACIONES.</w:t>
      </w:r>
    </w:p>
    <w:p w14:paraId="1C3701C2"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054B2893" w14:textId="77777777"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potenciales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podrán realizar consultas y solicitar modificaciones, prórrogas o aclaraciones de acuerdo a lo establecido en el artículo 93 del Reglamento a la Ley General de Contratación Pública.</w:t>
      </w:r>
    </w:p>
    <w:p w14:paraId="2F60529D" w14:textId="6571F6A3" w:rsidR="00BD55DE" w:rsidRPr="00C85C82" w:rsidRDefault="00A33DDC" w:rsidP="00533DC0">
      <w:pPr>
        <w:spacing w:before="24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En cuanto a las apelaciones y objeciones, se atenderá según lo establecido en los artículos 95</w:t>
      </w:r>
      <w:r w:rsidR="003549B9" w:rsidRPr="00C85C82">
        <w:rPr>
          <w:rFonts w:ascii="HendersonSansW00-BasicLight" w:eastAsia="Garamond" w:hAnsi="HendersonSansW00-BasicLight" w:cs="Garamond"/>
        </w:rPr>
        <w:t>, 96</w:t>
      </w:r>
      <w:r w:rsidRPr="00C85C82">
        <w:rPr>
          <w:rFonts w:ascii="HendersonSansW00-BasicLight" w:eastAsia="Garamond" w:hAnsi="HendersonSansW00-BasicLight" w:cs="Garamond"/>
        </w:rPr>
        <w:t xml:space="preserve"> y 97 de la Ley General de Contratación Pública.</w:t>
      </w:r>
    </w:p>
    <w:p w14:paraId="1D4E2841"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bookmarkStart w:id="15" w:name="_heading=h.z337ya" w:colFirst="0" w:colLast="0"/>
      <w:bookmarkEnd w:id="15"/>
      <w:r w:rsidRPr="00C85C82">
        <w:rPr>
          <w:rFonts w:ascii="HendersonSansW00-BasicLight" w:eastAsia="Garamond" w:hAnsi="HendersonSansW00-BasicLight" w:cs="Garamond"/>
          <w:b/>
          <w:color w:val="000000"/>
        </w:rPr>
        <w:t>CONDICIONES ADICIONALES</w:t>
      </w:r>
    </w:p>
    <w:p w14:paraId="40870F4E" w14:textId="77777777" w:rsidR="00D13CA1" w:rsidRDefault="00D13CA1" w:rsidP="00533DC0">
      <w:pPr>
        <w:spacing w:after="0" w:line="240" w:lineRule="auto"/>
        <w:jc w:val="both"/>
        <w:rPr>
          <w:rFonts w:ascii="HendersonSansW00-BasicLight" w:eastAsia="Garamond" w:hAnsi="HendersonSansW00-BasicLight" w:cs="Garamond"/>
        </w:rPr>
      </w:pPr>
    </w:p>
    <w:p w14:paraId="5A6B0992" w14:textId="7C7FF4EF" w:rsidR="00BD55DE"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Además de aquellas que en detalle se establecen en otros ítems del presente documento,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interesados, deberán cumplir las siguientes condiciones:</w:t>
      </w:r>
    </w:p>
    <w:p w14:paraId="53E47866" w14:textId="77777777" w:rsidR="00533DC0" w:rsidRPr="00C85C82" w:rsidRDefault="00533DC0" w:rsidP="00533DC0">
      <w:pPr>
        <w:spacing w:after="0" w:line="240" w:lineRule="auto"/>
        <w:jc w:val="both"/>
        <w:rPr>
          <w:rFonts w:ascii="HendersonSansW00-BasicLight" w:eastAsia="Garamond" w:hAnsi="HendersonSansW00-BasicLight" w:cs="Garamond"/>
        </w:rPr>
      </w:pPr>
    </w:p>
    <w:p w14:paraId="575B1C93" w14:textId="77777777" w:rsidR="00BD55DE" w:rsidRPr="00C85C82" w:rsidRDefault="00A33DDC" w:rsidP="00533DC0">
      <w:pPr>
        <w:numPr>
          <w:ilvl w:val="0"/>
          <w:numId w:val="7"/>
        </w:numPr>
        <w:tabs>
          <w:tab w:val="left" w:pos="36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debe asegurarse de contar con los profesionales necesarios que le permita cumplir a cabalidad con estos temas, ya que los mismos serán evaluados en esta fase.</w:t>
      </w:r>
    </w:p>
    <w:p w14:paraId="5D641AE0" w14:textId="77777777" w:rsidR="00BD55DE" w:rsidRPr="00C85C82" w:rsidRDefault="00A33DDC" w:rsidP="00533DC0">
      <w:pPr>
        <w:numPr>
          <w:ilvl w:val="0"/>
          <w:numId w:val="7"/>
        </w:numPr>
        <w:tabs>
          <w:tab w:val="left" w:pos="36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Que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sean versados en las disciplinas necesarias para el cabal desarrollo del </w:t>
      </w:r>
      <w:r w:rsidRPr="00C85C82">
        <w:rPr>
          <w:rFonts w:ascii="HendersonSansW00-BasicLight" w:eastAsia="Garamond" w:hAnsi="HendersonSansW00-BasicLight" w:cs="Garamond"/>
          <w:b/>
        </w:rPr>
        <w:t xml:space="preserve">ESTUDIO </w:t>
      </w:r>
      <w:r w:rsidRPr="00C85C82">
        <w:rPr>
          <w:rFonts w:ascii="HendersonSansW00-BasicLight" w:eastAsia="Garamond" w:hAnsi="HendersonSansW00-BasicLight" w:cs="Garamond"/>
        </w:rPr>
        <w:t>y con experiencia, tanto por parte del grupo profesional como por sus integrantes en forma individual.</w:t>
      </w:r>
    </w:p>
    <w:p w14:paraId="6467FDA8"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Que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acepten los procedimientos de pago, control, supervisión y evaluación que se establezcan para el normal desarrollo de los componentes del </w:t>
      </w:r>
      <w:r w:rsidRPr="00C85C82">
        <w:rPr>
          <w:rFonts w:ascii="HendersonSansW00-BasicLight" w:eastAsia="Garamond" w:hAnsi="HendersonSansW00-BasicLight" w:cs="Garamond"/>
          <w:b/>
        </w:rPr>
        <w:t>ESTUDIO</w:t>
      </w:r>
      <w:r w:rsidRPr="00C85C82">
        <w:rPr>
          <w:rFonts w:ascii="HendersonSansW00-BasicLight" w:eastAsia="Garamond" w:hAnsi="HendersonSansW00-BasicLight" w:cs="Garamond"/>
        </w:rPr>
        <w:t>.</w:t>
      </w:r>
    </w:p>
    <w:p w14:paraId="047B00A8" w14:textId="07AF69D8"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miembros del Comité Directivo del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 xml:space="preserve">, los funcionarios de </w:t>
      </w:r>
      <w:r w:rsidRPr="00C85C82">
        <w:rPr>
          <w:rFonts w:ascii="HendersonSansW00-BasicLight" w:eastAsia="Garamond" w:hAnsi="HendersonSansW00-BasicLight" w:cs="Garamond"/>
          <w:b/>
        </w:rPr>
        <w:t>M</w:t>
      </w:r>
      <w:r w:rsidR="00885FC1">
        <w:rPr>
          <w:rFonts w:ascii="HendersonSansW00-BasicLight" w:eastAsia="Garamond" w:hAnsi="HendersonSansW00-BasicLight" w:cs="Garamond"/>
          <w:b/>
        </w:rPr>
        <w:t>IDEPLAN</w:t>
      </w:r>
      <w:r w:rsidRPr="00C85C82">
        <w:rPr>
          <w:rFonts w:ascii="HendersonSansW00-BasicLight" w:eastAsia="Garamond" w:hAnsi="HendersonSansW00-BasicLight" w:cs="Garamond"/>
        </w:rPr>
        <w:t xml:space="preserve"> y los directivos, los funcionarios y socios de las </w:t>
      </w:r>
      <w:r w:rsidRPr="00C85C82">
        <w:rPr>
          <w:rFonts w:ascii="HendersonSansW00-BasicLight" w:eastAsia="Garamond" w:hAnsi="HendersonSansW00-BasicLight" w:cs="Garamond"/>
          <w:b/>
        </w:rPr>
        <w:t>IFI</w:t>
      </w:r>
      <w:r w:rsidRPr="00C85C82">
        <w:rPr>
          <w:rFonts w:ascii="HendersonSansW00-BasicLight" w:eastAsia="Garamond" w:hAnsi="HendersonSansW00-BasicLight" w:cs="Garamond"/>
        </w:rPr>
        <w:t xml:space="preserve"> (Institución Financieras Intermediarias) y de 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no podrán ser considerados ni como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individuales ni como miembros o empleados de firmas consultoras, prohibición que se extenderá a quienes hubiesen desempeñado u ocupado tales cargos en los seis meses anteriores a la firma del Convenio de Transferencia no reembolsable. Igual tratamiento se aplicará al personal permanente o temporal de las Instituciones o entes del Sector Público de Costa Rica. Todo de acuerdo con lo que establezcan las normas vigentes de contratación.</w:t>
      </w:r>
    </w:p>
    <w:p w14:paraId="7DD4F2B6"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deben presentar, una declaración jurada en que conste que no les alcanzan las prohibiciones establecidas en el literal anterior. </w:t>
      </w:r>
    </w:p>
    <w:p w14:paraId="6D702D78" w14:textId="2333BE73" w:rsidR="00BD55DE"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Declaración jurada de que 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no le alcanzan las prohibiciones para contratar con la Administración Pública según lo establecido en el Capítulo V sobre el Régimen de Prohibiciones y la declaración jurada establecida en el artículo 29 de la Ley General de Contratación Pública.</w:t>
      </w:r>
    </w:p>
    <w:p w14:paraId="63C78ED5" w14:textId="77777777" w:rsidR="00A12D11" w:rsidRPr="001E5E44" w:rsidRDefault="00A12D11" w:rsidP="00533DC0">
      <w:pPr>
        <w:pStyle w:val="Prrafodelista"/>
        <w:numPr>
          <w:ilvl w:val="0"/>
          <w:numId w:val="7"/>
        </w:numPr>
        <w:pBdr>
          <w:top w:val="nil"/>
          <w:left w:val="nil"/>
          <w:bottom w:val="nil"/>
          <w:right w:val="nil"/>
          <w:between w:val="nil"/>
        </w:pBdr>
        <w:tabs>
          <w:tab w:val="left" w:pos="360"/>
        </w:tabs>
        <w:spacing w:after="0" w:line="240" w:lineRule="auto"/>
        <w:jc w:val="both"/>
        <w:rPr>
          <w:rFonts w:ascii="HendersonSansW00-BasicLight" w:eastAsia="Garamond" w:hAnsi="HendersonSansW00-BasicLight" w:cs="Garamond"/>
          <w:color w:val="000000"/>
        </w:rPr>
      </w:pPr>
      <w:r w:rsidRPr="001E5E44">
        <w:rPr>
          <w:rFonts w:ascii="HendersonSansW00-BasicLight" w:eastAsia="Garamond" w:hAnsi="HendersonSansW00-BasicLight" w:cs="Garamond"/>
          <w:color w:val="000000"/>
        </w:rPr>
        <w:t xml:space="preserve">El </w:t>
      </w:r>
      <w:r w:rsidRPr="001E5E44">
        <w:rPr>
          <w:rFonts w:ascii="HendersonSansW00-BasicLight" w:eastAsia="Garamond" w:hAnsi="HendersonSansW00-BasicLight" w:cs="Garamond"/>
          <w:b/>
          <w:color w:val="000000"/>
        </w:rPr>
        <w:t>OFERENTE</w:t>
      </w:r>
      <w:r w:rsidRPr="001E5E44">
        <w:rPr>
          <w:rFonts w:ascii="HendersonSansW00-BasicLight" w:eastAsia="Garamond" w:hAnsi="HendersonSansW00-BasicLight" w:cs="Garamond"/>
          <w:color w:val="000000"/>
        </w:rPr>
        <w:t xml:space="preserve"> extranjero se entiende sometido a las leyes y a los tribunales de Costa Rica, en todo lo concerniente a los trámites y ejecución del contrato, debiendo manifestarlo así en su propuesta.</w:t>
      </w:r>
    </w:p>
    <w:p w14:paraId="79BF5E10" w14:textId="77777777" w:rsidR="00A12D11" w:rsidRPr="001E5E44" w:rsidRDefault="00A12D11" w:rsidP="00533DC0">
      <w:pPr>
        <w:pStyle w:val="Prrafodelista"/>
        <w:numPr>
          <w:ilvl w:val="0"/>
          <w:numId w:val="7"/>
        </w:numPr>
        <w:pBdr>
          <w:top w:val="nil"/>
          <w:left w:val="nil"/>
          <w:bottom w:val="nil"/>
          <w:right w:val="nil"/>
          <w:between w:val="nil"/>
        </w:pBdr>
        <w:tabs>
          <w:tab w:val="left" w:pos="360"/>
        </w:tabs>
        <w:spacing w:after="0" w:line="240" w:lineRule="auto"/>
        <w:jc w:val="both"/>
        <w:rPr>
          <w:rFonts w:ascii="HendersonSansW00-BasicLight" w:eastAsia="Garamond" w:hAnsi="HendersonSansW00-BasicLight" w:cs="Garamond"/>
          <w:color w:val="000000"/>
        </w:rPr>
      </w:pPr>
      <w:r w:rsidRPr="001E5E44">
        <w:rPr>
          <w:rFonts w:ascii="HendersonSansW00-BasicLight" w:eastAsia="Garamond" w:hAnsi="HendersonSansW00-BasicLight" w:cs="Garamond"/>
          <w:color w:val="000000"/>
        </w:rPr>
        <w:t>El</w:t>
      </w:r>
      <w:r w:rsidRPr="001E5E44">
        <w:rPr>
          <w:rFonts w:ascii="HendersonSansW00-BasicLight" w:eastAsia="Garamond" w:hAnsi="HendersonSansW00-BasicLight" w:cs="Garamond"/>
          <w:b/>
          <w:color w:val="000000"/>
        </w:rPr>
        <w:t xml:space="preserve"> OFERENTE </w:t>
      </w:r>
      <w:r w:rsidRPr="001E5E44">
        <w:rPr>
          <w:rFonts w:ascii="HendersonSansW00-BasicLight" w:eastAsia="Garamond" w:hAnsi="HendersonSansW00-BasicLight" w:cs="Garamond"/>
          <w:color w:val="000000"/>
        </w:rPr>
        <w:t>deberá de estar al día con sus obligaciones en la Caja Costarricense del Seguro Social</w:t>
      </w:r>
      <w:r>
        <w:rPr>
          <w:rFonts w:ascii="HendersonSansW00-BasicLight" w:eastAsia="Garamond" w:hAnsi="HendersonSansW00-BasicLight" w:cs="Garamond"/>
          <w:color w:val="000000"/>
        </w:rPr>
        <w:t xml:space="preserve">, </w:t>
      </w:r>
      <w:r w:rsidRPr="001E5E44">
        <w:rPr>
          <w:rFonts w:ascii="HendersonSansW00-BasicLight" w:eastAsia="Garamond" w:hAnsi="HendersonSansW00-BasicLight" w:cs="Garamond"/>
          <w:color w:val="000000"/>
        </w:rPr>
        <w:t>DESAF</w:t>
      </w:r>
      <w:r>
        <w:rPr>
          <w:rFonts w:ascii="HendersonSansW00-BasicLight" w:eastAsia="Garamond" w:hAnsi="HendersonSansW00-BasicLight" w:cs="Garamond"/>
        </w:rPr>
        <w:t>, IMAS, INA</w:t>
      </w:r>
      <w:r w:rsidRPr="00FE4984">
        <w:rPr>
          <w:rFonts w:ascii="HendersonSansW00-BasicLight" w:eastAsia="Garamond" w:hAnsi="HendersonSansW00-BasicLight" w:cs="Garamond"/>
        </w:rPr>
        <w:t xml:space="preserve"> y </w:t>
      </w:r>
      <w:r>
        <w:rPr>
          <w:rFonts w:ascii="HendersonSansW00-BasicLight" w:eastAsia="Garamond" w:hAnsi="HendersonSansW00-BasicLight" w:cs="Garamond"/>
        </w:rPr>
        <w:t>FO</w:t>
      </w:r>
      <w:r w:rsidRPr="00FE4984">
        <w:rPr>
          <w:rFonts w:ascii="HendersonSansW00-BasicLight" w:eastAsia="Garamond" w:hAnsi="HendersonSansW00-BasicLight" w:cs="Garamond"/>
        </w:rPr>
        <w:t>DESAF,</w:t>
      </w:r>
      <w:r>
        <w:rPr>
          <w:rFonts w:ascii="HendersonSansW00-BasicLight" w:eastAsia="Garamond" w:hAnsi="HendersonSansW00-BasicLight" w:cs="Garamond"/>
        </w:rPr>
        <w:t xml:space="preserve"> </w:t>
      </w:r>
      <w:r w:rsidRPr="001E5E44">
        <w:rPr>
          <w:rFonts w:ascii="HendersonSansW00-BasicLight" w:eastAsia="Garamond" w:hAnsi="HendersonSansW00-BasicLight" w:cs="Garamond"/>
          <w:color w:val="000000"/>
        </w:rPr>
        <w:t>en el momento de presentar su oferta o su equivalente en el país de origen.</w:t>
      </w:r>
    </w:p>
    <w:p w14:paraId="3D88801A" w14:textId="77777777" w:rsidR="00A12D11" w:rsidRPr="001E5E44" w:rsidRDefault="00A12D11" w:rsidP="00533DC0">
      <w:pPr>
        <w:pStyle w:val="Prrafodelista"/>
        <w:numPr>
          <w:ilvl w:val="0"/>
          <w:numId w:val="7"/>
        </w:numPr>
        <w:pBdr>
          <w:top w:val="nil"/>
          <w:left w:val="nil"/>
          <w:bottom w:val="nil"/>
          <w:right w:val="nil"/>
          <w:between w:val="nil"/>
        </w:pBdr>
        <w:tabs>
          <w:tab w:val="left" w:pos="360"/>
        </w:tabs>
        <w:spacing w:after="0" w:line="240" w:lineRule="auto"/>
        <w:jc w:val="both"/>
        <w:rPr>
          <w:rFonts w:ascii="HendersonSansW00-BasicLight" w:eastAsia="Garamond" w:hAnsi="HendersonSansW00-BasicLight" w:cs="Garamond"/>
          <w:color w:val="000000"/>
        </w:rPr>
      </w:pPr>
      <w:r w:rsidRPr="001E5E44">
        <w:rPr>
          <w:rFonts w:ascii="HendersonSansW00-BasicLight" w:eastAsia="Garamond" w:hAnsi="HendersonSansW00-BasicLight" w:cs="Garamond"/>
          <w:color w:val="000000"/>
        </w:rPr>
        <w:t>El</w:t>
      </w:r>
      <w:r w:rsidRPr="001E5E44">
        <w:rPr>
          <w:rFonts w:ascii="HendersonSansW00-BasicLight" w:eastAsia="Garamond" w:hAnsi="HendersonSansW00-BasicLight" w:cs="Garamond"/>
          <w:b/>
          <w:color w:val="000000"/>
        </w:rPr>
        <w:t xml:space="preserve"> OFERENTE </w:t>
      </w:r>
      <w:r w:rsidRPr="001E5E44">
        <w:rPr>
          <w:rFonts w:ascii="HendersonSansW00-BasicLight" w:eastAsia="Garamond" w:hAnsi="HendersonSansW00-BasicLight" w:cs="Garamond"/>
          <w:color w:val="000000"/>
        </w:rPr>
        <w:t>deberá de presentar una certificación de estar al día con las obligaciones tributarias respectivas ante Tributación Directa – Ministerio de Hacienda o su equivalente en el país de origen.</w:t>
      </w:r>
    </w:p>
    <w:p w14:paraId="038D5074"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extranjero se entiende sometido a las leyes y a los tribunales de Costa Rica, en todo lo concerniente a los trámites y ejecución del contrato, debiendo manifestarlo así en su propuesta.</w:t>
      </w:r>
    </w:p>
    <w:p w14:paraId="5F542F5B"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que participen en el concurso, </w:t>
      </w:r>
      <w:r w:rsidRPr="00C85C82">
        <w:rPr>
          <w:rFonts w:ascii="HendersonSansW00-BasicLight" w:eastAsia="Garamond" w:hAnsi="HendersonSansW00-BasicLight" w:cs="Garamond"/>
          <w:u w:val="single"/>
        </w:rPr>
        <w:t>integrando un consorcio o firmas asociadas, deben presentar, por separado, la documentación requerida en este apartado</w:t>
      </w:r>
      <w:r w:rsidRPr="00C85C82">
        <w:rPr>
          <w:rFonts w:ascii="HendersonSansW00-BasicLight" w:eastAsia="Garamond" w:hAnsi="HendersonSansW00-BasicLight" w:cs="Garamond"/>
        </w:rPr>
        <w:t>, así como la información legal concerniente a la formalización de la unión, con indicación de la firma que asumirá la representación de ambas.</w:t>
      </w:r>
    </w:p>
    <w:p w14:paraId="3BA99F42"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No podrá ser contratado como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quien sea o haya sido miembro del </w:t>
      </w:r>
      <w:r w:rsidRPr="00C85C82">
        <w:rPr>
          <w:rFonts w:ascii="HendersonSansW00-BasicLight" w:eastAsia="Garamond" w:hAnsi="HendersonSansW00-BasicLight" w:cs="Garamond"/>
          <w:b/>
        </w:rPr>
        <w:t>COMITÉ DIRECTIVO</w:t>
      </w:r>
      <w:r w:rsidRPr="00C85C82">
        <w:rPr>
          <w:rFonts w:ascii="HendersonSansW00-BasicLight" w:eastAsia="Garamond" w:hAnsi="HendersonSansW00-BasicLight" w:cs="Garamond"/>
        </w:rPr>
        <w:t xml:space="preserve">, funcionario de </w:t>
      </w:r>
      <w:r w:rsidRPr="00C85C82">
        <w:rPr>
          <w:rFonts w:ascii="HendersonSansW00-BasicLight" w:eastAsia="Garamond" w:hAnsi="HendersonSansW00-BasicLight" w:cs="Garamond"/>
          <w:b/>
        </w:rPr>
        <w:t>MIDEPLAN</w:t>
      </w:r>
      <w:r w:rsidRPr="00C85C82">
        <w:rPr>
          <w:rFonts w:ascii="HendersonSansW00-BasicLight" w:eastAsia="Garamond" w:hAnsi="HendersonSansW00-BasicLight" w:cs="Garamond"/>
        </w:rPr>
        <w:t xml:space="preserve"> o personal permanente o temporal del Estado o de la institución que reciba el financiamiento o que haya sido beneficiario de los servicios de los expertos, durante los seis meses previos a la presentación de la solicitud ante el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 xml:space="preserve"> o al inicio de los </w:t>
      </w:r>
      <w:r w:rsidRPr="00C85C82">
        <w:rPr>
          <w:rFonts w:ascii="HendersonSansW00-BasicLight" w:eastAsia="Garamond" w:hAnsi="HendersonSansW00-BasicLight" w:cs="Garamond"/>
          <w:b/>
        </w:rPr>
        <w:t>PROCEDIMIENTOS DE CONTRATACIÓN DEL FONDO</w:t>
      </w:r>
      <w:r w:rsidRPr="00C85C82">
        <w:rPr>
          <w:rFonts w:ascii="HendersonSansW00-BasicLight" w:eastAsia="Garamond" w:hAnsi="HendersonSansW00-BasicLight" w:cs="Garamond"/>
        </w:rPr>
        <w:t xml:space="preserve">.  Esta prohibición se aplicará tanto en los casos en que dicha persona actúe como </w:t>
      </w:r>
      <w:r w:rsidRPr="00C85C82">
        <w:rPr>
          <w:rFonts w:ascii="HendersonSansW00-BasicLight" w:eastAsia="Garamond" w:hAnsi="HendersonSansW00-BasicLight" w:cs="Garamond"/>
          <w:b/>
        </w:rPr>
        <w:t>CONSULTOR</w:t>
      </w:r>
      <w:r w:rsidRPr="00C85C82">
        <w:rPr>
          <w:rFonts w:ascii="HendersonSansW00-BasicLight" w:eastAsia="Garamond" w:hAnsi="HendersonSansW00-BasicLight" w:cs="Garamond"/>
        </w:rPr>
        <w:t xml:space="preserve"> o sea socio, miembro o empleado de la firma Consultora que participa en el concurso respectivo. </w:t>
      </w:r>
    </w:p>
    <w:p w14:paraId="754F81B6" w14:textId="15F0E5E4"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lastRenderedPageBreak/>
        <w:t xml:space="preserve">Asimismo, 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sólo podrá ser seleccionado si conviene por escrito no participar de ningún modo en la ejecución, la operación o el financiam</w:t>
      </w:r>
      <w:r w:rsidR="008F0FE7">
        <w:rPr>
          <w:rFonts w:ascii="HendersonSansW00-BasicLight" w:eastAsia="Garamond" w:hAnsi="HendersonSansW00-BasicLight" w:cs="Garamond"/>
        </w:rPr>
        <w:t xml:space="preserve">iento del proyecto resultante del </w:t>
      </w:r>
      <w:r w:rsidR="008F0FE7" w:rsidRPr="008F0FE7">
        <w:rPr>
          <w:rFonts w:ascii="HendersonSansW00-BasicLight" w:eastAsia="Garamond" w:hAnsi="HendersonSansW00-BasicLight" w:cs="Garamond"/>
          <w:b/>
        </w:rPr>
        <w:t>ESTUDIO</w:t>
      </w:r>
      <w:r w:rsidRPr="008F0FE7">
        <w:rPr>
          <w:rFonts w:ascii="HendersonSansW00-BasicLight" w:eastAsia="Garamond" w:hAnsi="HendersonSansW00-BasicLight" w:cs="Garamond"/>
          <w:b/>
        </w:rPr>
        <w:t xml:space="preserve"> </w:t>
      </w:r>
      <w:r w:rsidRPr="00C85C82">
        <w:rPr>
          <w:rFonts w:ascii="HendersonSansW00-BasicLight" w:eastAsia="Garamond" w:hAnsi="HendersonSansW00-BasicLight" w:cs="Garamond"/>
        </w:rPr>
        <w:t xml:space="preserve">de preinversión; la misma prohibición opera para un </w:t>
      </w:r>
      <w:r w:rsidRPr="00C85C82">
        <w:rPr>
          <w:rFonts w:ascii="HendersonSansW00-BasicLight" w:eastAsia="Garamond" w:hAnsi="HendersonSansW00-BasicLight" w:cs="Garamond"/>
          <w:b/>
        </w:rPr>
        <w:t>CONSULTOR</w:t>
      </w:r>
      <w:r w:rsidRPr="00C85C82">
        <w:rPr>
          <w:rFonts w:ascii="HendersonSansW00-BasicLight" w:eastAsia="Garamond" w:hAnsi="HendersonSansW00-BasicLight" w:cs="Garamond"/>
        </w:rPr>
        <w:t xml:space="preserve"> que sea filial o subsidiaria de una empresa proveedora de bienes y servicios. Además, serán aplicables las prohibiciones establecidas en la Ley </w:t>
      </w:r>
      <w:r w:rsidR="00394A6A" w:rsidRPr="00C85C82">
        <w:rPr>
          <w:rFonts w:ascii="HendersonSansW00-BasicLight" w:eastAsia="Garamond" w:hAnsi="HendersonSansW00-BasicLight" w:cs="Garamond"/>
        </w:rPr>
        <w:t xml:space="preserve">General </w:t>
      </w:r>
      <w:r w:rsidRPr="00C85C82">
        <w:rPr>
          <w:rFonts w:ascii="HendersonSansW00-BasicLight" w:eastAsia="Garamond" w:hAnsi="HendersonSansW00-BasicLight" w:cs="Garamond"/>
        </w:rPr>
        <w:t xml:space="preserve">de Contratación </w:t>
      </w:r>
      <w:r w:rsidR="006B289B" w:rsidRPr="00C85C82">
        <w:rPr>
          <w:rFonts w:ascii="HendersonSansW00-BasicLight" w:eastAsia="Garamond" w:hAnsi="HendersonSansW00-BasicLight" w:cs="Garamond"/>
        </w:rPr>
        <w:t>Pública</w:t>
      </w:r>
      <w:r w:rsidRPr="00C85C82">
        <w:rPr>
          <w:rFonts w:ascii="HendersonSansW00-BasicLight" w:eastAsia="Garamond" w:hAnsi="HendersonSansW00-BasicLight" w:cs="Garamond"/>
        </w:rPr>
        <w:t xml:space="preserve"> y su Reglamento.  </w:t>
      </w:r>
    </w:p>
    <w:p w14:paraId="0630220D" w14:textId="77777777" w:rsidR="00BD55DE" w:rsidRPr="00C85C82" w:rsidRDefault="00A33DDC" w:rsidP="00533DC0">
      <w:pPr>
        <w:numPr>
          <w:ilvl w:val="0"/>
          <w:numId w:val="7"/>
        </w:numP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 xml:space="preserve">Modificaciones en los Términos de Referencia.  </w:t>
      </w:r>
      <w:r w:rsidRPr="00C85C82">
        <w:rPr>
          <w:rFonts w:ascii="HendersonSansW00-BasicLight" w:eastAsia="Garamond" w:hAnsi="HendersonSansW00-BasicLight" w:cs="Garamond"/>
        </w:rPr>
        <w:t xml:space="preserve">Cuando en la ejecución del </w:t>
      </w:r>
      <w:r w:rsidRPr="00C85C82">
        <w:rPr>
          <w:rFonts w:ascii="HendersonSansW00-BasicLight" w:eastAsia="Garamond" w:hAnsi="HendersonSansW00-BasicLight" w:cs="Garamond"/>
          <w:b/>
        </w:rPr>
        <w:t>ESTUDIO</w:t>
      </w:r>
      <w:r w:rsidRPr="00C85C82">
        <w:rPr>
          <w:rFonts w:ascii="HendersonSansW00-BasicLight" w:eastAsia="Garamond" w:hAnsi="HendersonSansW00-BasicLight" w:cs="Garamond"/>
        </w:rPr>
        <w:t xml:space="preserve"> se compruebe la aparición de circunstancias especiales que justifiquen cambios en los Términos de Referencia, las modificaciones pertinentes deben ser aprobadas por el </w:t>
      </w:r>
      <w:r w:rsidRPr="00C85C82">
        <w:rPr>
          <w:rFonts w:ascii="HendersonSansW00-BasicLight" w:eastAsia="Garamond" w:hAnsi="HendersonSansW00-BasicLight" w:cs="Garamond"/>
          <w:b/>
        </w:rPr>
        <w:t xml:space="preserve">BENEFICIARIO </w:t>
      </w:r>
      <w:r w:rsidRPr="00C85C82">
        <w:rPr>
          <w:rFonts w:ascii="HendersonSansW00-BasicLight" w:eastAsia="Garamond" w:hAnsi="HendersonSansW00-BasicLight" w:cs="Garamond"/>
        </w:rPr>
        <w:t xml:space="preserve">y el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 xml:space="preserve">, se entenderá que las modificaciones realizadas modifican el </w:t>
      </w:r>
      <w:r w:rsidRPr="00C85C82">
        <w:rPr>
          <w:rFonts w:ascii="HendersonSansW00-BasicLight" w:eastAsia="Garamond" w:hAnsi="HendersonSansW00-BasicLight" w:cs="Garamond"/>
          <w:b/>
        </w:rPr>
        <w:t>CONVENIO</w:t>
      </w:r>
      <w:r w:rsidRPr="00C85C82">
        <w:rPr>
          <w:rFonts w:ascii="HendersonSansW00-BasicLight" w:eastAsia="Garamond" w:hAnsi="HendersonSansW00-BasicLight" w:cs="Garamond"/>
        </w:rPr>
        <w:t xml:space="preserve"> suscrito entre las </w:t>
      </w:r>
      <w:r w:rsidRPr="00C85C82">
        <w:rPr>
          <w:rFonts w:ascii="HendersonSansW00-BasicLight" w:eastAsia="Garamond" w:hAnsi="HendersonSansW00-BasicLight" w:cs="Garamond"/>
          <w:b/>
        </w:rPr>
        <w:t>PARTES</w:t>
      </w:r>
      <w:r w:rsidRPr="00C85C82">
        <w:rPr>
          <w:rFonts w:ascii="HendersonSansW00-BasicLight" w:eastAsia="Garamond" w:hAnsi="HendersonSansW00-BasicLight" w:cs="Garamond"/>
        </w:rPr>
        <w:t xml:space="preserve">. </w:t>
      </w:r>
    </w:p>
    <w:p w14:paraId="7F96F4CE" w14:textId="2FAF131F" w:rsidR="00BD55DE" w:rsidRPr="00C85C82" w:rsidRDefault="00A33DDC" w:rsidP="00533DC0">
      <w:pPr>
        <w:numPr>
          <w:ilvl w:val="0"/>
          <w:numId w:val="7"/>
        </w:numPr>
        <w:pBdr>
          <w:top w:val="nil"/>
          <w:left w:val="nil"/>
          <w:bottom w:val="nil"/>
          <w:right w:val="nil"/>
          <w:between w:val="nil"/>
        </w:pBdr>
        <w:tabs>
          <w:tab w:val="left" w:pos="360"/>
        </w:tabs>
        <w:spacing w:before="120"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b/>
        </w:rPr>
        <w:t xml:space="preserve">Modificaciones a los términos del Contrato de Consultoría.  </w:t>
      </w:r>
      <w:r w:rsidRPr="00C85C82">
        <w:rPr>
          <w:rFonts w:ascii="HendersonSansW00-BasicLight" w:eastAsia="Garamond" w:hAnsi="HendersonSansW00-BasicLight" w:cs="Garamond"/>
        </w:rPr>
        <w:t xml:space="preserve">Toda modificación a los términos del Contrato de Consultoría deberá ser autorizada por el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 xml:space="preserve">, de previo a su realización. Asimismo, requisitos adicionales para la eficacia de las modificaciones convenidas serán informados al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 xml:space="preserve">, una vez que se hayan cumplido.  </w:t>
      </w:r>
    </w:p>
    <w:p w14:paraId="5D3A89DB" w14:textId="24E65460" w:rsidR="00BD55DE" w:rsidRDefault="00BD55DE" w:rsidP="00533DC0">
      <w:pPr>
        <w:pBdr>
          <w:top w:val="nil"/>
          <w:left w:val="nil"/>
          <w:bottom w:val="nil"/>
          <w:right w:val="nil"/>
          <w:between w:val="nil"/>
        </w:pBdr>
        <w:tabs>
          <w:tab w:val="left" w:pos="360"/>
        </w:tabs>
        <w:spacing w:before="120" w:after="0" w:line="240" w:lineRule="auto"/>
        <w:ind w:left="360"/>
        <w:jc w:val="both"/>
        <w:rPr>
          <w:rFonts w:ascii="HendersonSansW00-BasicLight" w:eastAsia="Garamond" w:hAnsi="HendersonSansW00-BasicLight" w:cs="Garamond"/>
          <w:b/>
        </w:rPr>
      </w:pPr>
    </w:p>
    <w:p w14:paraId="333FBED8" w14:textId="2F892163" w:rsidR="003D5694" w:rsidRDefault="003D5694" w:rsidP="00533DC0">
      <w:pPr>
        <w:pBdr>
          <w:top w:val="nil"/>
          <w:left w:val="nil"/>
          <w:bottom w:val="nil"/>
          <w:right w:val="nil"/>
          <w:between w:val="nil"/>
        </w:pBdr>
        <w:tabs>
          <w:tab w:val="left" w:pos="360"/>
        </w:tabs>
        <w:spacing w:before="120" w:after="0" w:line="240" w:lineRule="auto"/>
        <w:ind w:left="360"/>
        <w:jc w:val="both"/>
        <w:rPr>
          <w:rFonts w:ascii="HendersonSansW00-BasicLight" w:eastAsia="Garamond" w:hAnsi="HendersonSansW00-BasicLight" w:cs="Garamond"/>
          <w:b/>
        </w:rPr>
      </w:pPr>
    </w:p>
    <w:p w14:paraId="3DD247BF" w14:textId="77777777" w:rsidR="003D5694" w:rsidRPr="000D06D1" w:rsidRDefault="003D5694" w:rsidP="003D5694">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Pr>
          <w:rFonts w:ascii="HendersonSansW00-BasicLight" w:eastAsia="Garamond" w:hAnsi="HendersonSansW00-BasicLight" w:cs="Garamond"/>
          <w:b/>
          <w:color w:val="000000"/>
        </w:rPr>
        <w:t>INFORMES</w:t>
      </w:r>
    </w:p>
    <w:p w14:paraId="47173D2F" w14:textId="1B72C5B5" w:rsidR="003D5694" w:rsidRDefault="000A6B07" w:rsidP="003D5694">
      <w:pPr>
        <w:spacing w:before="220" w:after="80"/>
        <w:rPr>
          <w:rFonts w:ascii="HendersonSansW00-BasicLight" w:hAnsi="HendersonSansW00-BasicLight"/>
          <w:b/>
          <w:bCs/>
        </w:rPr>
      </w:pPr>
      <w:r>
        <w:rPr>
          <w:rFonts w:ascii="HendersonSansW00-BasicLight" w:hAnsi="HendersonSansW00-BasicLight"/>
          <w:b/>
          <w:bCs/>
        </w:rPr>
        <w:t>XIII</w:t>
      </w:r>
      <w:r w:rsidR="003D5694">
        <w:rPr>
          <w:rFonts w:ascii="HendersonSansW00-BasicLight" w:hAnsi="HendersonSansW00-BasicLight"/>
          <w:b/>
          <w:bCs/>
        </w:rPr>
        <w:t>.1. De los informes y sus productos</w:t>
      </w:r>
    </w:p>
    <w:p w14:paraId="129CA8B3" w14:textId="77777777" w:rsidR="00782DFD" w:rsidRDefault="00782DFD" w:rsidP="00782DFD">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Todo documento según se establezca con 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deberá indicar en las carátulas de estos, acerca de la intervención del Fondo de Preinversión como entidad financiadora de los estudios.</w:t>
      </w:r>
    </w:p>
    <w:p w14:paraId="1F00A775" w14:textId="77777777" w:rsidR="00782DFD" w:rsidRPr="00C85C82" w:rsidRDefault="00782DFD" w:rsidP="00782DFD">
      <w:pPr>
        <w:spacing w:after="0" w:line="240" w:lineRule="auto"/>
        <w:jc w:val="both"/>
        <w:rPr>
          <w:rFonts w:ascii="HendersonSansW00-BasicLight" w:eastAsia="Garamond" w:hAnsi="HendersonSansW00-BasicLight" w:cs="Garamond"/>
        </w:rPr>
      </w:pPr>
    </w:p>
    <w:p w14:paraId="7724F177" w14:textId="77777777" w:rsidR="00782DFD" w:rsidRPr="00C85C82" w:rsidRDefault="00782DFD" w:rsidP="00782DFD">
      <w:pPr>
        <w:spacing w:after="0" w:line="240" w:lineRule="auto"/>
        <w:jc w:val="both"/>
        <w:rPr>
          <w:rFonts w:ascii="HendersonSansW00-BasicLight" w:eastAsia="Garamond" w:hAnsi="HendersonSansW00-BasicLight" w:cs="Garamond"/>
          <w:strike/>
        </w:rPr>
      </w:pPr>
      <w:r w:rsidRPr="00C85C82">
        <w:rPr>
          <w:rFonts w:ascii="HendersonSansW00-BasicLight" w:eastAsia="Garamond" w:hAnsi="HendersonSansW00-BasicLight" w:cs="Garamond"/>
        </w:rPr>
        <w:t xml:space="preserve">Todos los </w:t>
      </w:r>
      <w:r>
        <w:rPr>
          <w:rFonts w:ascii="HendersonSansW00-BasicLight" w:eastAsia="Garamond" w:hAnsi="HendersonSansW00-BasicLight" w:cs="Garamond"/>
        </w:rPr>
        <w:t>entregables</w:t>
      </w:r>
      <w:r w:rsidRPr="00C85C82">
        <w:rPr>
          <w:rFonts w:ascii="HendersonSansW00-BasicLight" w:eastAsia="Garamond" w:hAnsi="HendersonSansW00-BasicLight" w:cs="Garamond"/>
        </w:rPr>
        <w:t xml:space="preserve"> deberán ser escritos en español y presentarse en formato digital a la </w:t>
      </w:r>
      <w:r w:rsidRPr="00C85C82">
        <w:rPr>
          <w:rFonts w:ascii="HendersonSansW00-BasicLight" w:eastAsia="Garamond" w:hAnsi="HendersonSansW00-BasicLight" w:cs="Garamond"/>
          <w:b/>
        </w:rPr>
        <w:t>ADMINISTRACIÓN</w:t>
      </w:r>
      <w:r>
        <w:rPr>
          <w:rFonts w:ascii="HendersonSansW00-BasicLight" w:eastAsia="Garamond" w:hAnsi="HendersonSansW00-BasicLight" w:cs="Garamond"/>
          <w:b/>
        </w:rPr>
        <w:t xml:space="preserve"> </w:t>
      </w:r>
      <w:r w:rsidRPr="002D29E9">
        <w:rPr>
          <w:rFonts w:ascii="HendersonSansW00-BasicLight" w:eastAsia="Garamond" w:hAnsi="HendersonSansW00-BasicLight" w:cs="Garamond"/>
          <w:bCs/>
        </w:rPr>
        <w:t>y al</w:t>
      </w:r>
      <w:r>
        <w:rPr>
          <w:rFonts w:ascii="HendersonSansW00-BasicLight" w:eastAsia="Garamond" w:hAnsi="HendersonSansW00-BasicLight" w:cs="Garamond"/>
          <w:b/>
        </w:rPr>
        <w:t xml:space="preserve"> FONDO,</w:t>
      </w:r>
      <w:r w:rsidRPr="00C85C82">
        <w:rPr>
          <w:rFonts w:ascii="HendersonSansW00-BasicLight" w:eastAsia="Garamond" w:hAnsi="HendersonSansW00-BasicLight" w:cs="Garamond"/>
        </w:rPr>
        <w:t xml:space="preserve"> </w:t>
      </w:r>
      <w:r>
        <w:rPr>
          <w:rStyle w:val="cf01"/>
          <w:rFonts w:ascii="HendersonSansW00-BasicLight" w:hAnsi="HendersonSansW00-BasicLight"/>
          <w:sz w:val="22"/>
          <w:szCs w:val="22"/>
        </w:rPr>
        <w:t xml:space="preserve">los cuales deberán subir a la carpeta compartida en una nube privada que la </w:t>
      </w:r>
      <w:r w:rsidRPr="00593BDB">
        <w:rPr>
          <w:rStyle w:val="cf01"/>
          <w:rFonts w:ascii="HendersonSansW00-BasicLight" w:hAnsi="HendersonSansW00-BasicLight"/>
          <w:b/>
          <w:sz w:val="22"/>
          <w:szCs w:val="22"/>
        </w:rPr>
        <w:t>ADMINISTRACIÓN</w:t>
      </w:r>
      <w:r>
        <w:rPr>
          <w:rStyle w:val="cf01"/>
          <w:rFonts w:ascii="HendersonSansW00-BasicLight" w:hAnsi="HendersonSansW00-BasicLight"/>
          <w:sz w:val="22"/>
          <w:szCs w:val="22"/>
        </w:rPr>
        <w:t xml:space="preserve"> facilitará.</w:t>
      </w:r>
    </w:p>
    <w:p w14:paraId="5F506AC0" w14:textId="77777777" w:rsidR="00782DFD" w:rsidRDefault="00782DFD" w:rsidP="00782DFD">
      <w:pPr>
        <w:spacing w:after="0" w:line="240" w:lineRule="auto"/>
        <w:jc w:val="both"/>
        <w:rPr>
          <w:rFonts w:ascii="HendersonSansW00-BasicLight" w:eastAsia="Garamond" w:hAnsi="HendersonSansW00-BasicLight" w:cs="Garamond"/>
        </w:rPr>
      </w:pPr>
    </w:p>
    <w:p w14:paraId="2B1C1FCB" w14:textId="77777777" w:rsidR="00782DFD" w:rsidRPr="00C85C82" w:rsidRDefault="00782DFD" w:rsidP="00782DFD">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Los Informes que en este apartado se detallan, serán revisados únicamente por la </w:t>
      </w:r>
      <w:r w:rsidRPr="00C85C82">
        <w:rPr>
          <w:rFonts w:ascii="HendersonSansW00-BasicLight" w:eastAsia="Garamond" w:hAnsi="HendersonSansW00-BasicLight" w:cs="Garamond"/>
          <w:b/>
        </w:rPr>
        <w:t>COMISIÓN DE SUPERVISIÓN TÉCNICA</w:t>
      </w:r>
      <w:r w:rsidRPr="00C85C82">
        <w:rPr>
          <w:rFonts w:ascii="HendersonSansW00-BasicLight" w:eastAsia="Garamond" w:hAnsi="HendersonSansW00-BasicLight" w:cs="Garamond"/>
        </w:rPr>
        <w:t xml:space="preserve"> y el </w:t>
      </w:r>
      <w:r w:rsidRPr="00C85C82">
        <w:rPr>
          <w:rFonts w:ascii="HendersonSansW00-BasicLight" w:eastAsia="Garamond" w:hAnsi="HendersonSansW00-BasicLight" w:cs="Garamond"/>
          <w:b/>
        </w:rPr>
        <w:t>FONDO</w:t>
      </w:r>
      <w:r w:rsidRPr="00C85C82">
        <w:rPr>
          <w:rFonts w:ascii="HendersonSansW00-BasicLight" w:eastAsia="Garamond" w:hAnsi="HendersonSansW00-BasicLight" w:cs="Garamond"/>
        </w:rPr>
        <w:t>.</w:t>
      </w:r>
    </w:p>
    <w:p w14:paraId="74C1E3A1" w14:textId="77777777" w:rsidR="000A6B07" w:rsidRDefault="000A6B07" w:rsidP="001C3B2C">
      <w:pPr>
        <w:spacing w:line="240" w:lineRule="auto"/>
        <w:jc w:val="both"/>
        <w:rPr>
          <w:rStyle w:val="cf01"/>
          <w:rFonts w:ascii="HendersonSansW00-BasicLight" w:hAnsi="HendersonSansW00-BasicLight"/>
          <w:sz w:val="22"/>
          <w:szCs w:val="22"/>
        </w:rPr>
      </w:pPr>
    </w:p>
    <w:p w14:paraId="4C35B784" w14:textId="1490094F" w:rsidR="00782DFD" w:rsidRPr="001C3B2C" w:rsidRDefault="00782DFD" w:rsidP="001C3B2C">
      <w:pPr>
        <w:spacing w:line="240" w:lineRule="auto"/>
        <w:jc w:val="both"/>
        <w:rPr>
          <w:rFonts w:ascii="HendersonSansW00-BasicLight" w:hAnsi="HendersonSansW00-BasicLight" w:cs="Segoe UI"/>
          <w:b/>
          <w:lang w:val="es-ES_tradnl"/>
        </w:rPr>
      </w:pPr>
      <w:r w:rsidRPr="00782DFD">
        <w:rPr>
          <w:rStyle w:val="cf01"/>
          <w:rFonts w:ascii="HendersonSansW00-BasicLight" w:hAnsi="HendersonSansW00-BasicLight"/>
          <w:sz w:val="22"/>
          <w:szCs w:val="22"/>
        </w:rPr>
        <w:t>La descripción de los productos esperados y entregables se describen</w:t>
      </w:r>
      <w:r>
        <w:rPr>
          <w:rStyle w:val="cf01"/>
          <w:rFonts w:ascii="HendersonSansW00-BasicLight" w:hAnsi="HendersonSansW00-BasicLight"/>
          <w:sz w:val="22"/>
          <w:szCs w:val="22"/>
        </w:rPr>
        <w:t xml:space="preserve"> a detalle</w:t>
      </w:r>
      <w:r w:rsidRPr="00782DFD">
        <w:rPr>
          <w:rStyle w:val="cf01"/>
          <w:rFonts w:ascii="HendersonSansW00-BasicLight" w:hAnsi="HendersonSansW00-BasicLight"/>
          <w:sz w:val="22"/>
          <w:szCs w:val="22"/>
        </w:rPr>
        <w:t xml:space="preserve"> en la Sección 6 y 7 del Anexo 4, lo cual debe tenerse en cuenta de manera OBLIGATORIA junto con los tiempos por cada actividad descritos abajo en el apartado Plazos de Entrega. </w:t>
      </w:r>
    </w:p>
    <w:p w14:paraId="619302E6" w14:textId="77777777" w:rsidR="003D5694" w:rsidRPr="00236CD5" w:rsidRDefault="003D5694" w:rsidP="003D5694">
      <w:pPr>
        <w:spacing w:before="220" w:after="80"/>
        <w:rPr>
          <w:rFonts w:ascii="HendersonSansW00-BasicLight" w:hAnsi="HendersonSansW00-BasicLight"/>
        </w:rPr>
      </w:pPr>
      <w:r>
        <w:rPr>
          <w:rFonts w:ascii="HendersonSansW00-BasicLight" w:hAnsi="HendersonSansW00-BasicLight"/>
        </w:rPr>
        <w:t>El objeto contractual se entregará mediante cinco informes parciales y un informe final, según el siguiente detalle.</w:t>
      </w:r>
    </w:p>
    <w:p w14:paraId="5FE30EB0" w14:textId="77777777" w:rsidR="003D5694" w:rsidRPr="00236CD5" w:rsidRDefault="003D5694" w:rsidP="003D5694">
      <w:pPr>
        <w:spacing w:before="220" w:after="80"/>
        <w:jc w:val="both"/>
        <w:rPr>
          <w:rFonts w:ascii="HendersonSansW00-BasicLight" w:hAnsi="HendersonSansW00-BasicLight"/>
        </w:rPr>
      </w:pPr>
      <w:r>
        <w:rPr>
          <w:rFonts w:ascii="HendersonSansW00-BasicLight" w:hAnsi="HendersonSansW00-BasicLight"/>
          <w:b/>
          <w:bCs/>
          <w:i/>
          <w:iCs/>
        </w:rPr>
        <w:t>Informe Parcial 1 — Estudios Técnicos de la ASADA Volcán</w:t>
      </w:r>
      <w:r>
        <w:rPr>
          <w:rFonts w:ascii="HendersonSansW00-BasicLight" w:hAnsi="HendersonSansW00-BasicLight"/>
        </w:rPr>
        <w:t>: Actividad 1.1, Estudio Técnico de la ASADA Volcán, aprobado por el AyA; Actividad 2.1, Planos de construcción y especificaciones técnicas del acueducto de la ASADA Volcán, aprobados por el CFIA; Actividad 3.1, Presupuesto detallado de las obras del acueducto de la ASADA Volcán, aprobado por el CFIA; y Actividad 4.1, Estudio de Impacto Ambiental de las obras del acueducto de la ASADA Volcán, aprobado por la SETENA.</w:t>
      </w:r>
    </w:p>
    <w:p w14:paraId="24B76DAD" w14:textId="77777777" w:rsidR="003D5694" w:rsidRPr="00236CD5" w:rsidRDefault="003D5694" w:rsidP="003D5694">
      <w:pPr>
        <w:spacing w:before="220" w:after="80"/>
        <w:rPr>
          <w:rFonts w:ascii="HendersonSansW00-BasicLight" w:hAnsi="HendersonSansW00-BasicLight"/>
        </w:rPr>
      </w:pPr>
      <w:r>
        <w:rPr>
          <w:rFonts w:ascii="HendersonSansW00-BasicLight" w:hAnsi="HendersonSansW00-BasicLight"/>
          <w:b/>
          <w:bCs/>
          <w:i/>
          <w:iCs/>
        </w:rPr>
        <w:lastRenderedPageBreak/>
        <w:t>Informe Parcial 2 — Estudios Técnicos de la ASADA El Carmen</w:t>
      </w:r>
      <w:r>
        <w:rPr>
          <w:rFonts w:ascii="HendersonSansW00-BasicLight" w:hAnsi="HendersonSansW00-BasicLight"/>
        </w:rPr>
        <w:t>: Actividad 1.2, Estudio Técnico de la ASADA El Carmen, aprobado por el AyA; Actividad 2.2, Planos de construcción y especificaciones técnicas del acueducto de la ASADA El Carmen, aprobados por el CFIA; Actividad 3.2, Presupuesto detallado de las obras del acueducto de la ASADA El Carmen, aprobado por el CFIA; y Actividad 4.2, Estudio de Impacto Ambiental de las obras del acueducto de la ASADA El Carmen, aprobado por la SETENA.</w:t>
      </w:r>
    </w:p>
    <w:p w14:paraId="2BF7435E" w14:textId="77777777" w:rsidR="003D5694" w:rsidRPr="00236CD5" w:rsidRDefault="003D5694" w:rsidP="003D5694">
      <w:pPr>
        <w:spacing w:before="220" w:after="80"/>
        <w:jc w:val="both"/>
        <w:rPr>
          <w:rFonts w:ascii="HendersonSansW00-BasicLight" w:hAnsi="HendersonSansW00-BasicLight"/>
        </w:rPr>
      </w:pPr>
      <w:r>
        <w:rPr>
          <w:rFonts w:ascii="HendersonSansW00-BasicLight" w:hAnsi="HendersonSansW00-BasicLight"/>
          <w:b/>
          <w:bCs/>
          <w:i/>
          <w:iCs/>
        </w:rPr>
        <w:t>Informe Parcial 3 — Estudios Técnicos de la ASADA La Amistad</w:t>
      </w:r>
      <w:r>
        <w:rPr>
          <w:rFonts w:ascii="HendersonSansW00-BasicLight" w:hAnsi="HendersonSansW00-BasicLight"/>
        </w:rPr>
        <w:t>: Actividad 1.3, Estudio Técnico de la ASADA La Amistad, aprobado por el AyA; Actividad 2.3, Planos de construcción y especificaciones técnicas del acueducto de la ASADA La Amistad, aprobados por el CFIA; Actividad 3.3, Presupuesto detallado de las obras del acueducto de la ASADA La Amistad, aprobado por el CFIA; y Actividad 4.3, Estudio de Impacto Ambiental de las obras del acueducto de la ASADA La Amistad, aprobado por la SETENA.</w:t>
      </w:r>
    </w:p>
    <w:p w14:paraId="47E0257F" w14:textId="77777777" w:rsidR="003D5694" w:rsidRPr="00236CD5" w:rsidRDefault="003D5694" w:rsidP="003D5694">
      <w:pPr>
        <w:spacing w:before="220" w:after="80"/>
        <w:jc w:val="both"/>
        <w:rPr>
          <w:rFonts w:ascii="HendersonSansW00-BasicLight" w:hAnsi="HendersonSansW00-BasicLight"/>
        </w:rPr>
      </w:pPr>
      <w:r>
        <w:rPr>
          <w:rFonts w:ascii="HendersonSansW00-BasicLight" w:hAnsi="HendersonSansW00-BasicLight"/>
          <w:b/>
          <w:bCs/>
          <w:i/>
          <w:iCs/>
        </w:rPr>
        <w:t>Informe Parcial 4 — Estudios Técnicos de la ASADA Helechales-Potrero Grande:</w:t>
      </w:r>
      <w:r>
        <w:rPr>
          <w:rFonts w:ascii="HendersonSansW00-BasicLight" w:hAnsi="HendersonSansW00-BasicLight"/>
        </w:rPr>
        <w:t xml:space="preserve"> Actividad 1.4, Estudio Técnico de la ASADA Helechales-Potrero Grande, aprobado por el AyA; Actividad 2.4, Planos de construcción y especificaciones técnicas del acueducto de la ASADA Helechales-Potrero Grande, aprobados por el CFIA; Actividad 3.4, Presupuesto detallado de las obras del acueducto de la ASADA Helechales-Potrero Grande, aprobado por el CFIA; y Actividad 4.4, Estudio de Impacto Ambiental de las obras del acueducto de la ASADA Helechales-Potrero Grande, aprobado por la SETENA.</w:t>
      </w:r>
    </w:p>
    <w:p w14:paraId="7D0B4363" w14:textId="77777777" w:rsidR="003D5694" w:rsidRPr="00236CD5" w:rsidRDefault="003D5694" w:rsidP="003D5694">
      <w:pPr>
        <w:spacing w:before="220" w:after="80"/>
        <w:jc w:val="both"/>
        <w:rPr>
          <w:rFonts w:ascii="HendersonSansW00-BasicLight" w:hAnsi="HendersonSansW00-BasicLight"/>
        </w:rPr>
      </w:pPr>
      <w:r>
        <w:rPr>
          <w:rFonts w:ascii="HendersonSansW00-BasicLight" w:hAnsi="HendersonSansW00-BasicLight"/>
          <w:b/>
          <w:bCs/>
          <w:i/>
          <w:iCs/>
        </w:rPr>
        <w:t>Informe Parcial 5 — Estudios Técnicos de la ASADA Concepción de Pilas:</w:t>
      </w:r>
      <w:r>
        <w:rPr>
          <w:rFonts w:ascii="HendersonSansW00-BasicLight" w:hAnsi="HendersonSansW00-BasicLight"/>
        </w:rPr>
        <w:t xml:space="preserve"> Actividad 1.5, Estudio Técnico de la ASADA Concepción de Pilas, aprobado por el AyA; Actividad 2.5, Planos de construcción y especificaciones técnicas del acueducto de la ASADA Concepción de Pilas, aprobados por el CFIA; Actividad 3.5, Presupuesto detallado de las obras del acueducto de la ASADA Concepción de Pilas, aprobado por el CFIA; y Actividad 4.5, Estudio de Impacto Ambiental de las obras del acueducto de la ASADA Concepción de Pilas, aprobado por la SETENA.</w:t>
      </w:r>
    </w:p>
    <w:p w14:paraId="34252D65" w14:textId="77777777" w:rsidR="003D5694" w:rsidRPr="00236CD5" w:rsidRDefault="003D5694" w:rsidP="003D5694">
      <w:pPr>
        <w:spacing w:before="220" w:after="80"/>
        <w:rPr>
          <w:rFonts w:ascii="HendersonSansW00-BasicLight" w:hAnsi="HendersonSansW00-BasicLight"/>
          <w:b/>
          <w:bCs/>
          <w:i/>
          <w:iCs/>
        </w:rPr>
      </w:pPr>
      <w:r>
        <w:rPr>
          <w:rFonts w:ascii="HendersonSansW00-BasicLight" w:hAnsi="HendersonSansW00-BasicLight"/>
          <w:b/>
          <w:bCs/>
          <w:i/>
          <w:iCs/>
        </w:rPr>
        <w:t>Informe Final — Recopilación de todos los informes parciales, revisados, corregidos y aprobados.</w:t>
      </w:r>
    </w:p>
    <w:p w14:paraId="114B3C0F" w14:textId="77777777" w:rsidR="003D5694" w:rsidRPr="00DF376B" w:rsidRDefault="003D5694" w:rsidP="003D5694">
      <w:pPr>
        <w:spacing w:before="220" w:after="80"/>
        <w:jc w:val="both"/>
        <w:rPr>
          <w:rFonts w:ascii="HendersonSansW00-BasicLight" w:hAnsi="HendersonSansW00-BasicLight"/>
        </w:rPr>
      </w:pPr>
      <w:r>
        <w:rPr>
          <w:rFonts w:ascii="HendersonSansW00-BasicLight" w:hAnsi="HendersonSansW00-BasicLight"/>
        </w:rPr>
        <w:t xml:space="preserve">Consiste en la recopilación de los cinco informes parciales, revisados, corregidos y aprobados. El pago del informe final, correspondiente al veinticinco por ciento (25%) del monto total, así como la liberación del monto acumulado por concepto de la retención del quince por ciento (15%) aplicada a cada desembolso, se tramitarán una vez que: (i) el AyA haya aprobado los estudios técnicos de los cinco informes parciales; y (ii) la Comisión de Supervisión Técnica haya recibido a satisfacción el informe final. </w:t>
      </w:r>
    </w:p>
    <w:p w14:paraId="0E4BC00D" w14:textId="77777777" w:rsidR="003D5694" w:rsidRDefault="003D5694" w:rsidP="003D5694">
      <w:pPr>
        <w:spacing w:before="220" w:after="80"/>
        <w:jc w:val="both"/>
        <w:rPr>
          <w:rFonts w:ascii="HendersonSansW00-BasicLight" w:hAnsi="HendersonSansW00-BasicLight"/>
        </w:rPr>
      </w:pPr>
      <w:r>
        <w:rPr>
          <w:rFonts w:ascii="HendersonSansW00-BasicLight" w:hAnsi="HendersonSansW00-BasicLight"/>
        </w:rPr>
        <w:t>Cuando el plazo de aprobación del AyA o un rechazo no atribuible al OFERENTE incidan en la obtención de los dictados favorables, dicho tiempo no le será imputable. La Administración velará por que las aprobaciones del AyA se gestionen de forma que la aprobación del informe final ocurra dentro de la ventana de plazo del contrato y, de ser necesario, gestionará oportunamente la ampliación del plazo correspondiente para evitar la cancelación automática de los recursos no desembolsados.</w:t>
      </w:r>
    </w:p>
    <w:p w14:paraId="0B1379D5" w14:textId="2A2E2757" w:rsidR="003D5694" w:rsidRDefault="003D5694" w:rsidP="003D5694">
      <w:pPr>
        <w:spacing w:before="220" w:after="80"/>
        <w:jc w:val="both"/>
        <w:rPr>
          <w:rFonts w:ascii="HendersonSansW00-BasicLight" w:hAnsi="HendersonSansW00-BasicLight"/>
        </w:rPr>
      </w:pPr>
      <w:r>
        <w:rPr>
          <w:rFonts w:ascii="HendersonSansW00-BasicLight" w:hAnsi="HendersonSansW00-BasicLight"/>
        </w:rPr>
        <w:t xml:space="preserve">No forma parte del alcance de esta contratación el Estudio Hidrogeológico de ubicación del sitio de perforación de un pozo para abastecimiento humano, previsto en el Apartado 8.2 del Anexo 4 </w:t>
      </w:r>
      <w:r>
        <w:rPr>
          <w:rFonts w:ascii="HendersonSansW00-BasicLight" w:hAnsi="HendersonSansW00-BasicLight"/>
        </w:rPr>
        <w:lastRenderedPageBreak/>
        <w:t>(Términos de Referencia), por cuanto dicha actividad fue realizada previamente por el AyA. En consecuencia, el OFERENTE no deberá cotizarla ni ejecutarla, y su exclusión no altera los demás productos ni las demás actividades previstas para cada informe parcial.</w:t>
      </w:r>
    </w:p>
    <w:p w14:paraId="0535A252" w14:textId="558B3C2F" w:rsidR="003D5694" w:rsidRPr="00236CD5" w:rsidRDefault="000A6B07" w:rsidP="003D5694">
      <w:pPr>
        <w:spacing w:before="220" w:after="80"/>
        <w:rPr>
          <w:rFonts w:ascii="HendersonSansW00-BasicLight" w:hAnsi="HendersonSansW00-BasicLight"/>
        </w:rPr>
      </w:pPr>
      <w:r>
        <w:rPr>
          <w:rFonts w:ascii="HendersonSansW00-BasicLight" w:hAnsi="HendersonSansW00-BasicLight"/>
          <w:b/>
          <w:bCs/>
        </w:rPr>
        <w:t>XIII</w:t>
      </w:r>
      <w:r w:rsidR="003D5694">
        <w:rPr>
          <w:rFonts w:ascii="HendersonSansW00-BasicLight" w:hAnsi="HendersonSansW00-BasicLight"/>
          <w:b/>
          <w:bCs/>
        </w:rPr>
        <w:t>.2. Plazos de entrega</w:t>
      </w:r>
    </w:p>
    <w:p w14:paraId="75A0D145"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El OFERENTE entregará cada informe parcial a la Comisión de Supervisión Técnica, en formato digital, dentro de los siguientes plazos máximos contados a partir del acta de inicio: </w:t>
      </w:r>
    </w:p>
    <w:p w14:paraId="358927B9"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Informe Parcial 1: 45 días hábiles a partir del acta de inicio; </w:t>
      </w:r>
    </w:p>
    <w:p w14:paraId="69C5AE29"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Informe Parcial 2: 90 días hábiles a partir del acta de inicio; </w:t>
      </w:r>
    </w:p>
    <w:p w14:paraId="5FB73F72"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Informe Parcial 3: 135 días hábiles a partir del acta de inicio; </w:t>
      </w:r>
    </w:p>
    <w:p w14:paraId="1409EF7A"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Informe Parcial 4: 180 días hábiles a partir del acta de inicio; </w:t>
      </w:r>
    </w:p>
    <w:p w14:paraId="5C34E6D9"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Informe Parcial 5: 225 días hábiles a partir del acta de inicio.</w:t>
      </w:r>
    </w:p>
    <w:p w14:paraId="7488F044"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Estos plazos miden exclusivamente la elaboración y entrega de los productos a cargo del OFERENTE. El tiempo que los estudios permanezcan en revisión o aprobación del AyA, o en poder de cualquier institución tercera para su visado o aprobación, no se computará dentro de los plazos del OFERENTE ni dará lugar a sanción por atraso.</w:t>
      </w:r>
    </w:p>
    <w:p w14:paraId="44764DF3" w14:textId="46742126" w:rsidR="003D5694" w:rsidRPr="00236CD5" w:rsidRDefault="000A6B07" w:rsidP="003D5694">
      <w:pPr>
        <w:spacing w:before="220" w:after="80"/>
        <w:rPr>
          <w:rFonts w:ascii="HendersonSansW00-BasicLight" w:hAnsi="HendersonSansW00-BasicLight"/>
        </w:rPr>
      </w:pPr>
      <w:r>
        <w:rPr>
          <w:rFonts w:ascii="HendersonSansW00-BasicLight" w:hAnsi="HendersonSansW00-BasicLight"/>
          <w:b/>
          <w:bCs/>
        </w:rPr>
        <w:t>XIII</w:t>
      </w:r>
      <w:r w:rsidR="003D5694">
        <w:rPr>
          <w:rFonts w:ascii="HendersonSansW00-BasicLight" w:hAnsi="HendersonSansW00-BasicLight"/>
          <w:b/>
          <w:bCs/>
        </w:rPr>
        <w:t>.3. Revisión y aceptación por la Comisión de Supervisión Técnica</w:t>
      </w:r>
    </w:p>
    <w:p w14:paraId="099936D3"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Recibido cada informe parcial, la COMISIÓN DE SUPERVISIÓN TÉCNICA contará con cinco (5) días hábiles para revisarlo. Si procede subsanar, el OFERENTE contará con tres (3) días naturales para atender la solicitud, y la COMISIÓN DE SUPERVISIÓN TÉCNICA con cuatro (4) días hábiles para revisar el subsane.</w:t>
      </w:r>
    </w:p>
    <w:p w14:paraId="55D9046F"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Aceptado el informe, la Administración emitirá el acta de aceptación correspondiente, con la cual el OFERENTE tramitará el cobro del informe aprobado correspondiente.</w:t>
      </w:r>
    </w:p>
    <w:p w14:paraId="018BF09E"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La atención de subsanes de un informe no impide al OFERENTE continuar con las demás actividades y productos, salvo el informe objeto de subsane.</w:t>
      </w:r>
    </w:p>
    <w:p w14:paraId="709A8C27" w14:textId="4BB66279" w:rsidR="003D5694" w:rsidRPr="00236CD5" w:rsidRDefault="000A6B07" w:rsidP="003D5694">
      <w:pPr>
        <w:spacing w:before="220" w:after="80"/>
        <w:rPr>
          <w:rFonts w:ascii="HendersonSansW00-BasicLight" w:hAnsi="HendersonSansW00-BasicLight"/>
        </w:rPr>
      </w:pPr>
      <w:r>
        <w:rPr>
          <w:rFonts w:ascii="HendersonSansW00-BasicLight" w:hAnsi="HendersonSansW00-BasicLight"/>
          <w:b/>
          <w:bCs/>
        </w:rPr>
        <w:t>XIII</w:t>
      </w:r>
      <w:r w:rsidR="003D5694">
        <w:rPr>
          <w:rFonts w:ascii="HendersonSansW00-BasicLight" w:hAnsi="HendersonSansW00-BasicLight"/>
          <w:b/>
          <w:bCs/>
        </w:rPr>
        <w:t>.4. Aprobación del AyA de los estudios técnicos</w:t>
      </w:r>
    </w:p>
    <w:p w14:paraId="73FF9B31"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El Estudio Técnico de cada ASADA requerirá, además, la aprobación del AyA mediante el procedimiento GOD-65-04-P, que culmina con el acto administrativo de aprobación o rechazo de la Dirección de Ingeniería de la UEN GAR (Subgerencia de Sistemas Delegados), previa revisión de la ORAC Brunca.</w:t>
      </w:r>
    </w:p>
    <w:p w14:paraId="2FF1A941"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Para el dictado de dicho acto administrativo, el AyA dispone del plazo establecido en el artículo 38, inciso n), y el artículo 45 del Decreto Ejecutivo N.° 42582-S-MINAE: dos meses, prorrogables por dos meses más, es decir, hasta cuatro meses.</w:t>
      </w:r>
    </w:p>
    <w:p w14:paraId="64F6DF3A"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De conformidad con el artículo 6 de la Ley N.° 8220, la prevención que el AyA formule al OFERENTE para completar o subsanar requisitos se hará por una única vez y por escrito, suspenderá el cómputo del plazo de resolución del AyA y otorgará al OFERENTE hasta diez (10) días hábiles para atenderla; transcurridos estos, continuará el cómputo del plazo restante.</w:t>
      </w:r>
    </w:p>
    <w:p w14:paraId="6DDEB23F" w14:textId="689AA391" w:rsidR="003D5694" w:rsidRDefault="003D5694" w:rsidP="003D5694">
      <w:pPr>
        <w:spacing w:after="140"/>
        <w:jc w:val="both"/>
        <w:rPr>
          <w:rFonts w:ascii="HendersonSansW00-BasicLight" w:hAnsi="HendersonSansW00-BasicLight"/>
        </w:rPr>
      </w:pPr>
      <w:r>
        <w:rPr>
          <w:rFonts w:ascii="HendersonSansW00-BasicLight" w:hAnsi="HendersonSansW00-BasicLight"/>
        </w:rPr>
        <w:lastRenderedPageBreak/>
        <w:t>El OFERENTE es responsable de cumplir los requisitos de admisibilidad y de contenido del estudio y de atender oportunamente los subsanes. El tiempo propio de revisión del AyA no es imputable al OFERENTE.</w:t>
      </w:r>
    </w:p>
    <w:p w14:paraId="0F81EE23" w14:textId="77777777" w:rsidR="008A107E" w:rsidRPr="00236CD5" w:rsidRDefault="008A107E" w:rsidP="003D5694">
      <w:pPr>
        <w:spacing w:after="140"/>
        <w:jc w:val="both"/>
        <w:rPr>
          <w:rFonts w:ascii="HendersonSansW00-BasicLight" w:hAnsi="HendersonSansW00-BasicLight"/>
        </w:rPr>
      </w:pPr>
    </w:p>
    <w:p w14:paraId="6D06E6F6" w14:textId="28DE060B" w:rsidR="008A107E" w:rsidRPr="008A107E" w:rsidRDefault="008A107E" w:rsidP="008A107E">
      <w:pPr>
        <w:spacing w:after="140"/>
        <w:jc w:val="both"/>
        <w:rPr>
          <w:rFonts w:ascii="HendersonSansW00-BasicLight" w:hAnsi="HendersonSansW00-BasicLight"/>
        </w:rPr>
      </w:pPr>
      <w:r w:rsidRPr="008A107E">
        <w:rPr>
          <w:rFonts w:ascii="HendersonSansW00-BasicLight" w:hAnsi="HendersonSansW00-BasicLight"/>
        </w:rPr>
        <w:t>"</w:t>
      </w:r>
      <w:r w:rsidRPr="008A107E">
        <w:rPr>
          <w:rFonts w:ascii="HendersonSansW00-BasicLight" w:hAnsi="HendersonSansW00-BasicLight"/>
          <w:b/>
          <w:bCs/>
        </w:rPr>
        <w:t>XIII.5. Otras gestiones ante el AyA y terceros</w:t>
      </w:r>
    </w:p>
    <w:p w14:paraId="3CD7661A" w14:textId="77777777" w:rsidR="008A107E" w:rsidRPr="008A107E" w:rsidRDefault="008A107E" w:rsidP="008A107E">
      <w:pPr>
        <w:spacing w:after="140"/>
        <w:jc w:val="both"/>
        <w:rPr>
          <w:rFonts w:ascii="HendersonSansW00-BasicLight" w:hAnsi="HendersonSansW00-BasicLight"/>
        </w:rPr>
      </w:pPr>
      <w:r w:rsidRPr="008A107E">
        <w:rPr>
          <w:rFonts w:ascii="HendersonSansW00-BasicLight" w:hAnsi="HendersonSansW00-BasicLight"/>
        </w:rPr>
        <w:t>El Estudio Técnico a cargo del OFERENTE deberá dimensionar las mejoras a realizar en cada componente del acueducto, incluidos los caudales de las fuentes en uso y el balance hídrico resultante. La gestión posterior ante la ORAC del AyA para aprobar la modificación del caudal asignado o la incorporación de nuevas fuentes (artículo 44, inciso f, del Decreto Ejecutivo N.° 42582-S-MINAE) corresponde a la ASADA, en la fase de ejecución posterior al Estudio Técnico aprobado, y no se atribuye al OFERENTE.</w:t>
      </w:r>
    </w:p>
    <w:p w14:paraId="2E74BB4E" w14:textId="77777777" w:rsidR="008A107E" w:rsidRPr="008A107E" w:rsidRDefault="008A107E" w:rsidP="008A107E">
      <w:pPr>
        <w:spacing w:after="140"/>
        <w:jc w:val="both"/>
        <w:rPr>
          <w:rFonts w:ascii="HendersonSansW00-BasicLight" w:hAnsi="HendersonSansW00-BasicLight"/>
        </w:rPr>
      </w:pPr>
      <w:r w:rsidRPr="008A107E">
        <w:rPr>
          <w:rFonts w:ascii="HendersonSansW00-BasicLight" w:hAnsi="HendersonSansW00-BasicLight"/>
        </w:rPr>
        <w:t>Sin perjuicio de lo anterior, el OFERENTE deberá prever las demás gestiones del Anexo 4 que le correspondan y que inciden en el cronograma, entre ellas: la supervisión técnica permanente del AyA; la evaluación de redes según el tipo de obras; el visado de planos por el Ministerio de Salud, la Municipalidad y la SETENA; y la solicitud de información al Laboratorio Nacional de Aguas.</w:t>
      </w:r>
    </w:p>
    <w:p w14:paraId="4F425A3B" w14:textId="77777777" w:rsidR="008A107E" w:rsidRPr="008A107E" w:rsidRDefault="008A107E" w:rsidP="008A107E">
      <w:pPr>
        <w:spacing w:after="140"/>
        <w:jc w:val="both"/>
        <w:rPr>
          <w:rFonts w:ascii="HendersonSansW00-BasicLight" w:hAnsi="HendersonSansW00-BasicLight"/>
        </w:rPr>
      </w:pPr>
      <w:r w:rsidRPr="008A107E">
        <w:rPr>
          <w:rFonts w:ascii="HendersonSansW00-BasicLight" w:hAnsi="HendersonSansW00-BasicLight"/>
        </w:rPr>
        <w:t>Cuando una gestión que corresponda al OFERENTE se demore por causa no atribuible a él, el tiempo de respuesta de la institución respectiva no se computará dentro de sus plazos ni le será imputable. Esta regla de no imputabilidad se refiere exclusivamente al cómputo de plazos y no exime al OFERENTE de incorporar en los Estudios Técnicos la información y los análisis que exige el Anexo 4."</w:t>
      </w:r>
    </w:p>
    <w:p w14:paraId="6CA0824D" w14:textId="77777777" w:rsidR="008A107E" w:rsidRPr="00236CD5" w:rsidRDefault="008A107E" w:rsidP="003D5694">
      <w:pPr>
        <w:spacing w:after="140"/>
        <w:jc w:val="both"/>
        <w:rPr>
          <w:rFonts w:ascii="HendersonSansW00-BasicLight" w:hAnsi="HendersonSansW00-BasicLight"/>
        </w:rPr>
      </w:pPr>
    </w:p>
    <w:p w14:paraId="7D05DB5C" w14:textId="6FC6B030" w:rsidR="003D5694" w:rsidRPr="00236CD5" w:rsidRDefault="000A6B07" w:rsidP="003D5694">
      <w:pPr>
        <w:spacing w:before="220" w:after="80"/>
        <w:rPr>
          <w:rFonts w:ascii="HendersonSansW00-BasicLight" w:hAnsi="HendersonSansW00-BasicLight"/>
        </w:rPr>
      </w:pPr>
      <w:r>
        <w:rPr>
          <w:rFonts w:ascii="HendersonSansW00-BasicLight" w:hAnsi="HendersonSansW00-BasicLight"/>
          <w:b/>
          <w:bCs/>
        </w:rPr>
        <w:t>XIII</w:t>
      </w:r>
      <w:r w:rsidR="003D5694">
        <w:rPr>
          <w:rFonts w:ascii="HendersonSansW00-BasicLight" w:hAnsi="HendersonSansW00-BasicLight"/>
          <w:b/>
          <w:bCs/>
        </w:rPr>
        <w:t>.6. Subsanes y rechazos</w:t>
      </w:r>
    </w:p>
    <w:p w14:paraId="64BD58C6"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Se distinguen dos supuestos:</w:t>
      </w:r>
    </w:p>
    <w:p w14:paraId="4F03839D" w14:textId="77777777" w:rsidR="003D5694" w:rsidRPr="00236CD5" w:rsidRDefault="003D5694" w:rsidP="003D5694">
      <w:pPr>
        <w:spacing w:after="70"/>
        <w:jc w:val="both"/>
        <w:rPr>
          <w:rFonts w:ascii="HendersonSansW00-BasicLight" w:hAnsi="HendersonSansW00-BasicLight"/>
        </w:rPr>
      </w:pPr>
      <w:r>
        <w:rPr>
          <w:rFonts w:ascii="HendersonSansW00-BasicLight" w:hAnsi="HendersonSansW00-BasicLight"/>
        </w:rPr>
        <w:t>a) Subsane o rechazo por causa atribuible al OFERENTE (deficiencias de calidad, incumplimiento de la normativa técnica del AyA o de los requisitos del Anexo 4): el OFERENTE deberá corregir y volver a presentar el producto a su costo, sin derecho a ampliación de plazo ni a pago adicional.</w:t>
      </w:r>
    </w:p>
    <w:p w14:paraId="54DCF626" w14:textId="77777777" w:rsidR="003D5694" w:rsidRPr="00236CD5" w:rsidRDefault="003D5694" w:rsidP="003D5694">
      <w:pPr>
        <w:spacing w:after="70"/>
        <w:jc w:val="both"/>
        <w:rPr>
          <w:rFonts w:ascii="HendersonSansW00-BasicLight" w:hAnsi="HendersonSansW00-BasicLight"/>
        </w:rPr>
      </w:pPr>
      <w:r>
        <w:rPr>
          <w:rFonts w:ascii="HendersonSansW00-BasicLight" w:hAnsi="HendersonSansW00-BasicLight"/>
        </w:rPr>
        <w:t>b) Atraso o rechazo por causa no atribuible al OFERENTE (criterio del AyA ajeno al alcance del Anexo 4, demora del ente más allá de su plazo, cambios normativos sobrevenidos u otras causas fuera de su control): el tiempo correspondiente suspenderá los plazos del OFERENTE, no le será imputable y, cuando proceda, dará lugar a la ampliación del plazo contractual.</w:t>
      </w:r>
    </w:p>
    <w:p w14:paraId="21E9DE50" w14:textId="2BC2E17E"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Se admitirán hasta dos rondas de subsane por producto. De persistir el rechazo por causa atribuible al OFERENTE, se aplicará el régimen de incumplimiento previsto en el contrato.</w:t>
      </w:r>
    </w:p>
    <w:p w14:paraId="24027317" w14:textId="37FC09E6" w:rsidR="003D5694" w:rsidRPr="00940E37" w:rsidRDefault="003D5694" w:rsidP="00940E37">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940E37">
        <w:rPr>
          <w:rFonts w:ascii="HendersonSansW00-BasicLight" w:eastAsia="Garamond" w:hAnsi="HendersonSansW00-BasicLight" w:cs="Garamond"/>
          <w:b/>
          <w:color w:val="000000"/>
        </w:rPr>
        <w:t>Términos de pago</w:t>
      </w:r>
    </w:p>
    <w:p w14:paraId="0D06038A"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El pago se realizará por avance, contra la aprobación de cada informe parcial, con cargo a los recursos del Fondo de Preinversión de MIDEPLAN, conforme a la siguiente distribución: quince por ciento (15%) por cada uno de los cinco informes parciales aprobados, y veinticinco por ciento (25%) por el informe final aprobado.</w:t>
      </w:r>
    </w:p>
    <w:p w14:paraId="3AC271DE" w14:textId="77777777" w:rsidR="003D5694" w:rsidRPr="00236CD5" w:rsidRDefault="003D5694" w:rsidP="003D5694">
      <w:pPr>
        <w:spacing w:after="140"/>
        <w:jc w:val="both"/>
        <w:rPr>
          <w:rFonts w:ascii="HendersonSansW00-BasicLight" w:hAnsi="HendersonSansW00-BasicLight"/>
        </w:rPr>
      </w:pPr>
      <w:r>
        <w:rPr>
          <w:rFonts w:ascii="HendersonSansW00-BasicLight" w:hAnsi="HendersonSansW00-BasicLight"/>
        </w:rPr>
        <w:t xml:space="preserve">El pago de cada informe parcial se tramitará contra el acta de aceptación del informe emitida por la COMISIÓN DE SUPERVISIÓN TÉCNICA. </w:t>
      </w:r>
    </w:p>
    <w:p w14:paraId="53DD1A8A" w14:textId="2DFFA5D0" w:rsidR="00155F99" w:rsidRPr="008F5A55" w:rsidRDefault="003D5694" w:rsidP="008F5A55">
      <w:pPr>
        <w:spacing w:after="140"/>
        <w:jc w:val="both"/>
        <w:rPr>
          <w:rFonts w:ascii="HendersonSansW00-BasicLight" w:hAnsi="HendersonSansW00-BasicLight"/>
        </w:rPr>
      </w:pPr>
      <w:r>
        <w:rPr>
          <w:rFonts w:ascii="HendersonSansW00-BasicLight" w:hAnsi="HendersonSansW00-BasicLight"/>
        </w:rPr>
        <w:lastRenderedPageBreak/>
        <w:t>El desembolso del informe final del veinticinco por ciento (25%) se tramitará una vez que el AyA haya aprobado los estudios técnicos de los cinco informes parciales y la COMISIÓN DE SUPERVISIÓN TÉCNICA haya recibido a satisfacción el informe final.</w:t>
      </w:r>
    </w:p>
    <w:p w14:paraId="16C85B31" w14:textId="5251CB54" w:rsidR="00BD55DE"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INCUMPLIMIENTO</w:t>
      </w:r>
    </w:p>
    <w:p w14:paraId="43C5B982" w14:textId="2A82FB7C" w:rsidR="00611CC2" w:rsidRPr="00C85C82" w:rsidRDefault="00611CC2" w:rsidP="00533DC0">
      <w:pPr>
        <w:keepNext/>
        <w:tabs>
          <w:tab w:val="left" w:pos="-720"/>
        </w:tabs>
        <w:spacing w:after="0" w:line="240" w:lineRule="auto"/>
        <w:ind w:left="709"/>
        <w:jc w:val="both"/>
        <w:rPr>
          <w:rFonts w:ascii="HendersonSansW00-BasicLight" w:eastAsia="Garamond" w:hAnsi="HendersonSansW00-BasicLight" w:cs="Garamond"/>
          <w:b/>
          <w:color w:val="000000"/>
        </w:rPr>
      </w:pPr>
    </w:p>
    <w:p w14:paraId="1F5F3421" w14:textId="269ED930" w:rsidR="00BD55DE"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incumplimiento de los requisitos establecidos en el presente documento, a juicio de </w:t>
      </w:r>
      <w:r w:rsidRPr="00C85C82">
        <w:rPr>
          <w:rFonts w:ascii="HendersonSansW00-BasicLight" w:eastAsia="Garamond" w:hAnsi="HendersonSansW00-BasicLight" w:cs="Garamond"/>
          <w:b/>
        </w:rPr>
        <w:t>LA COMISIÓN CALIFICADORA</w:t>
      </w:r>
      <w:r w:rsidRPr="00C85C82">
        <w:rPr>
          <w:rFonts w:ascii="HendersonSansW00-BasicLight" w:eastAsia="Garamond" w:hAnsi="HendersonSansW00-BasicLight" w:cs="Garamond"/>
        </w:rPr>
        <w:t xml:space="preserve">, podrá provocar la descalificación del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w:t>
      </w:r>
    </w:p>
    <w:p w14:paraId="2DE4DC58" w14:textId="32C1E963" w:rsidR="0093530E" w:rsidRDefault="0093530E" w:rsidP="00533DC0">
      <w:pPr>
        <w:spacing w:after="0" w:line="240" w:lineRule="auto"/>
        <w:jc w:val="both"/>
        <w:rPr>
          <w:rFonts w:ascii="HendersonSansW00-BasicLight" w:eastAsia="Garamond" w:hAnsi="HendersonSansW00-BasicLight" w:cs="Garamond"/>
        </w:rPr>
      </w:pPr>
    </w:p>
    <w:p w14:paraId="183C3264" w14:textId="70163DD1" w:rsidR="008F0FE7" w:rsidRPr="00C85C82" w:rsidRDefault="008F0FE7" w:rsidP="00533DC0">
      <w:pPr>
        <w:spacing w:after="0" w:line="240" w:lineRule="auto"/>
        <w:jc w:val="both"/>
        <w:rPr>
          <w:rFonts w:ascii="HendersonSansW00-BasicLight" w:eastAsia="Garamond" w:hAnsi="HendersonSansW00-BasicLight" w:cs="Garamond"/>
        </w:rPr>
      </w:pPr>
    </w:p>
    <w:p w14:paraId="48C44DE6"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ACEPTACIÓN DE CONDICIONES</w:t>
      </w:r>
    </w:p>
    <w:p w14:paraId="76684090" w14:textId="77777777" w:rsidR="00611CC2" w:rsidRDefault="00611CC2" w:rsidP="00533DC0">
      <w:pPr>
        <w:spacing w:after="0" w:line="240" w:lineRule="auto"/>
        <w:jc w:val="both"/>
        <w:rPr>
          <w:rFonts w:ascii="HendersonSansW00-BasicLight" w:eastAsia="Garamond" w:hAnsi="HendersonSansW00-BasicLight" w:cs="Garamond"/>
        </w:rPr>
      </w:pPr>
    </w:p>
    <w:p w14:paraId="2DED4CF1" w14:textId="136A771D"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La presentación de la documentación solicitada en el presente documento implica el sometimiento de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a todas y cada una de las disposiciones establecidas en él, sin necesidad de aclaración expresa alguna.</w:t>
      </w:r>
    </w:p>
    <w:p w14:paraId="03AD91F8"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34C59775" w14:textId="77777777"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Lo mismo aplica en relación con los lineamientos establecidos en la </w:t>
      </w:r>
      <w:r w:rsidRPr="00C85C82">
        <w:rPr>
          <w:rFonts w:ascii="HendersonSansW00-BasicLight" w:eastAsia="Garamond" w:hAnsi="HendersonSansW00-BasicLight" w:cs="Garamond"/>
          <w:b/>
        </w:rPr>
        <w:t>LEY</w:t>
      </w:r>
      <w:r w:rsidRPr="00C85C82">
        <w:rPr>
          <w:rFonts w:ascii="HendersonSansW00-BasicLight" w:eastAsia="Garamond" w:hAnsi="HendersonSansW00-BasicLight" w:cs="Garamond"/>
        </w:rPr>
        <w:t xml:space="preserve"> y el </w:t>
      </w:r>
      <w:r w:rsidRPr="00C85C82">
        <w:rPr>
          <w:rFonts w:ascii="HendersonSansW00-BasicLight" w:eastAsia="Garamond" w:hAnsi="HendersonSansW00-BasicLight" w:cs="Garamond"/>
          <w:b/>
        </w:rPr>
        <w:t>REGLAMENTO</w:t>
      </w:r>
      <w:r w:rsidRPr="00C85C82">
        <w:rPr>
          <w:rFonts w:ascii="HendersonSansW00-BasicLight" w:eastAsia="Garamond" w:hAnsi="HendersonSansW00-BasicLight" w:cs="Garamond"/>
        </w:rPr>
        <w:t xml:space="preserve">. En el caso de comprobarse falsedad en la información suministrada por uno o más de los </w:t>
      </w:r>
      <w:r w:rsidRPr="00C85C82">
        <w:rPr>
          <w:rFonts w:ascii="HendersonSansW00-BasicLight" w:eastAsia="Garamond" w:hAnsi="HendersonSansW00-BasicLight" w:cs="Garamond"/>
          <w:b/>
        </w:rPr>
        <w:t>OFERENTES</w:t>
      </w:r>
      <w:r w:rsidRPr="00C85C82">
        <w:rPr>
          <w:rFonts w:ascii="HendersonSansW00-BasicLight" w:eastAsia="Garamond" w:hAnsi="HendersonSansW00-BasicLight" w:cs="Garamond"/>
        </w:rPr>
        <w:t xml:space="preserve">, se dará lugar a 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para aplicar la sanción administrativa que corresponda, procediendo a anular el puntaje obtenido por la firma en el rubro correspondiente, aun cuando la evaluación ya hubiese sido efectuada. 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será responsable por todos los daños y perjuicios que tal acción produzca.</w:t>
      </w:r>
    </w:p>
    <w:p w14:paraId="1B503E78"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707948B3" w14:textId="632327F9" w:rsidR="00BD55DE" w:rsidRPr="00C85C82" w:rsidRDefault="00A33DDC" w:rsidP="00533DC0">
      <w:pPr>
        <w:spacing w:after="0" w:line="240" w:lineRule="auto"/>
        <w:jc w:val="both"/>
        <w:rPr>
          <w:rFonts w:ascii="HendersonSansW00-BasicLight" w:eastAsia="Garamond" w:hAnsi="HendersonSansW00-BasicLight" w:cs="Garamond"/>
          <w:color w:val="000000"/>
        </w:rPr>
      </w:pPr>
      <w:r w:rsidRPr="00C85C82">
        <w:rPr>
          <w:rFonts w:ascii="HendersonSansW00-BasicLight" w:eastAsia="Garamond" w:hAnsi="HendersonSansW00-BasicLight" w:cs="Garamond"/>
          <w:color w:val="000000"/>
        </w:rPr>
        <w:t xml:space="preserve">Todos los productos generados de la ejecución del </w:t>
      </w:r>
      <w:r w:rsidRPr="00C85C82">
        <w:rPr>
          <w:rFonts w:ascii="HendersonSansW00-BasicLight" w:eastAsia="Garamond" w:hAnsi="HendersonSansW00-BasicLight" w:cs="Garamond"/>
          <w:b/>
          <w:color w:val="000000"/>
        </w:rPr>
        <w:t>ESTUDIO</w:t>
      </w:r>
      <w:r w:rsidRPr="00C85C82">
        <w:rPr>
          <w:rFonts w:ascii="HendersonSansW00-BasicLight" w:eastAsia="Garamond" w:hAnsi="HendersonSansW00-BasicLight" w:cs="Garamond"/>
          <w:color w:val="000000"/>
        </w:rPr>
        <w:t xml:space="preserve"> serán propiedad de </w:t>
      </w:r>
      <w:r w:rsidR="008F0FE7">
        <w:rPr>
          <w:rFonts w:ascii="HendersonSansW00-BasicLight" w:eastAsia="Garamond" w:hAnsi="HendersonSansW00-BasicLight" w:cs="Garamond"/>
        </w:rPr>
        <w:t xml:space="preserve">la </w:t>
      </w:r>
      <w:r w:rsidR="008F5FC5" w:rsidRPr="000C4945">
        <w:rPr>
          <w:rFonts w:ascii="HendersonSansW00-BasicLight" w:eastAsia="Garamond" w:hAnsi="HendersonSansW00-BasicLight" w:cs="Garamond"/>
          <w:b/>
          <w:bCs/>
        </w:rPr>
        <w:t>ADMINISTRACIÓN,</w:t>
      </w:r>
      <w:r w:rsidRPr="00C85C82">
        <w:rPr>
          <w:rFonts w:ascii="HendersonSansW00-BasicLight" w:eastAsia="Garamond" w:hAnsi="HendersonSansW00-BasicLight" w:cs="Garamond"/>
          <w:color w:val="000000"/>
        </w:rPr>
        <w:t xml:space="preserve"> conforme al artículo 4, inciso h y artículo 6 de la Ley de Derechos de Autor N°6683, Reformada por la Ley N°8039.</w:t>
      </w:r>
    </w:p>
    <w:p w14:paraId="5A7FF190" w14:textId="5F3B44F5" w:rsidR="00155F99" w:rsidRDefault="00155F99" w:rsidP="00533DC0">
      <w:pPr>
        <w:spacing w:after="0" w:line="240" w:lineRule="auto"/>
        <w:jc w:val="both"/>
        <w:rPr>
          <w:rFonts w:ascii="HendersonSansW00-BasicLight" w:eastAsia="Garamond" w:hAnsi="HendersonSansW00-BasicLight" w:cs="Garamond"/>
          <w:color w:val="000000"/>
        </w:rPr>
      </w:pPr>
    </w:p>
    <w:p w14:paraId="6463E32F" w14:textId="77777777" w:rsidR="00155F99" w:rsidRDefault="00155F99" w:rsidP="00533DC0">
      <w:pPr>
        <w:spacing w:after="0" w:line="240" w:lineRule="auto"/>
        <w:jc w:val="both"/>
        <w:rPr>
          <w:rFonts w:ascii="HendersonSansW00-BasicLight" w:eastAsia="Garamond" w:hAnsi="HendersonSansW00-BasicLight" w:cs="Garamond"/>
          <w:color w:val="000000"/>
        </w:rPr>
      </w:pPr>
    </w:p>
    <w:p w14:paraId="6FABE15C"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SUBCONTRATACIONES</w:t>
      </w:r>
    </w:p>
    <w:p w14:paraId="2FF16A27"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5B822B04" w14:textId="77777777"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podrá subcontratar hasta en el 50% del monto adjudicado según los términos de la Ley General de Contratación Pública y su reglamento. El </w:t>
      </w:r>
      <w:r w:rsidRPr="00C85C82">
        <w:rPr>
          <w:rFonts w:ascii="HendersonSansW00-BasicLight" w:eastAsia="Garamond" w:hAnsi="HendersonSansW00-BasicLight" w:cs="Garamond"/>
          <w:b/>
        </w:rPr>
        <w:t>OFERENTE</w:t>
      </w:r>
      <w:r w:rsidRPr="00C85C82">
        <w:rPr>
          <w:rFonts w:ascii="HendersonSansW00-BasicLight" w:eastAsia="Garamond" w:hAnsi="HendersonSansW00-BasicLight" w:cs="Garamond"/>
        </w:rPr>
        <w:t xml:space="preserve"> deberá brindar un detalle de todas las subcontrataciones a realizar, aportando un cuadro donde se indique la empresa o persona subcontratada, las tareas asignadas y el porcentaje al que corresponde dicha subcontratación. </w:t>
      </w:r>
    </w:p>
    <w:p w14:paraId="2BB911EB" w14:textId="77777777" w:rsidR="00BD55DE" w:rsidRPr="00C85C82" w:rsidRDefault="00BD55DE" w:rsidP="00533DC0">
      <w:pPr>
        <w:spacing w:after="0" w:line="240" w:lineRule="auto"/>
        <w:jc w:val="both"/>
        <w:rPr>
          <w:rFonts w:ascii="HendersonSansW00-BasicLight" w:eastAsia="Garamond" w:hAnsi="HendersonSansW00-BasicLight" w:cs="Garamond"/>
          <w:color w:val="000000"/>
        </w:rPr>
      </w:pPr>
    </w:p>
    <w:p w14:paraId="75F13990" w14:textId="77777777" w:rsidR="00BD55DE" w:rsidRPr="00C85C82" w:rsidRDefault="00A33DDC"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DECLARACIÓN DESIERTA O INFRUCTUOSO</w:t>
      </w:r>
    </w:p>
    <w:p w14:paraId="423A374F"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4E689E0D" w14:textId="77777777" w:rsidR="00BD55DE" w:rsidRDefault="00A33DDC" w:rsidP="00533DC0">
      <w:pPr>
        <w:tabs>
          <w:tab w:val="left" w:pos="72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podrá declarar desierto o Infructuoso el concurso si considera que no conviene a sus intereses, sin que ello motive el reconocimiento o indemnización de ninguna índole a </w:t>
      </w:r>
      <w:r w:rsidRPr="00C85C82">
        <w:rPr>
          <w:rFonts w:ascii="HendersonSansW00-BasicLight" w:eastAsia="Garamond" w:hAnsi="HendersonSansW00-BasicLight" w:cs="Garamond"/>
          <w:b/>
        </w:rPr>
        <w:t>LOS OFERENTES</w:t>
      </w:r>
      <w:r w:rsidRPr="00C85C82">
        <w:rPr>
          <w:rFonts w:ascii="HendersonSansW00-BasicLight" w:eastAsia="Garamond" w:hAnsi="HendersonSansW00-BasicLight" w:cs="Garamond"/>
        </w:rPr>
        <w:t>.</w:t>
      </w:r>
    </w:p>
    <w:p w14:paraId="48B6F2A2" w14:textId="77777777" w:rsidR="00611CC2" w:rsidRPr="00C85C82" w:rsidRDefault="00611CC2" w:rsidP="00533DC0">
      <w:pPr>
        <w:tabs>
          <w:tab w:val="left" w:pos="720"/>
        </w:tabs>
        <w:spacing w:after="0" w:line="240" w:lineRule="auto"/>
        <w:jc w:val="both"/>
        <w:rPr>
          <w:rFonts w:ascii="HendersonSansW00-BasicLight" w:eastAsia="Garamond" w:hAnsi="HendersonSansW00-BasicLight" w:cs="Garamond"/>
        </w:rPr>
      </w:pPr>
    </w:p>
    <w:p w14:paraId="1E843616" w14:textId="77777777" w:rsidR="00BD55DE" w:rsidRPr="00C85C82" w:rsidRDefault="00A33DDC" w:rsidP="00533DC0">
      <w:pPr>
        <w:spacing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Si al presente concurso no se presentaron ofertas o las que lo hicieron no se ajustaron a los elementos esenciales del concurso, 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dictará un acto declarando infructuoso el procedimiento, justificando los incumplimientos sustanciales que presenten las ofertas.</w:t>
      </w:r>
    </w:p>
    <w:p w14:paraId="511BA9E8" w14:textId="77777777" w:rsidR="00BD55DE" w:rsidRPr="00C85C82" w:rsidRDefault="00A33DDC" w:rsidP="00533DC0">
      <w:pPr>
        <w:tabs>
          <w:tab w:val="left" w:pos="-720"/>
          <w:tab w:val="left" w:pos="720"/>
        </w:tabs>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La </w:t>
      </w:r>
      <w:r w:rsidRPr="00C85C82">
        <w:rPr>
          <w:rFonts w:ascii="HendersonSansW00-BasicLight" w:eastAsia="Garamond" w:hAnsi="HendersonSansW00-BasicLight" w:cs="Garamond"/>
          <w:b/>
        </w:rPr>
        <w:t>ADMINISTRACIÓN</w:t>
      </w:r>
      <w:r w:rsidRPr="00C85C82">
        <w:rPr>
          <w:rFonts w:ascii="HendersonSansW00-BasicLight" w:eastAsia="Garamond" w:hAnsi="HendersonSansW00-BasicLight" w:cs="Garamond"/>
        </w:rPr>
        <w:t xml:space="preserve"> por razones de protección al interés público que así lo recomiendan y mediante un acto motivado podrá declarar desierto el concurso, sin que ello motive el reconocimiento o indemnización de ninguna índole a </w:t>
      </w:r>
      <w:r w:rsidRPr="00C85C82">
        <w:rPr>
          <w:rFonts w:ascii="HendersonSansW00-BasicLight" w:eastAsia="Garamond" w:hAnsi="HendersonSansW00-BasicLight" w:cs="Garamond"/>
          <w:b/>
        </w:rPr>
        <w:t>LOS OFERENTES</w:t>
      </w:r>
      <w:r w:rsidRPr="00C85C82">
        <w:rPr>
          <w:rFonts w:ascii="HendersonSansW00-BasicLight" w:eastAsia="Garamond" w:hAnsi="HendersonSansW00-BasicLight" w:cs="Garamond"/>
        </w:rPr>
        <w:t>.</w:t>
      </w:r>
    </w:p>
    <w:p w14:paraId="736530D7" w14:textId="44713345" w:rsidR="00426B98" w:rsidRDefault="00426B98" w:rsidP="00533DC0">
      <w:pPr>
        <w:spacing w:line="240" w:lineRule="auto"/>
        <w:jc w:val="both"/>
        <w:rPr>
          <w:rFonts w:ascii="HendersonSansW00-BasicLight" w:eastAsia="Garamond" w:hAnsi="HendersonSansW00-BasicLight" w:cs="Garamond"/>
        </w:rPr>
      </w:pPr>
    </w:p>
    <w:p w14:paraId="45C8B50F" w14:textId="77777777" w:rsidR="0030428C" w:rsidRPr="00C85C82" w:rsidRDefault="0030428C" w:rsidP="00533DC0">
      <w:pPr>
        <w:spacing w:line="240" w:lineRule="auto"/>
        <w:jc w:val="both"/>
        <w:rPr>
          <w:rFonts w:ascii="HendersonSansW00-BasicLight" w:eastAsia="Garamond" w:hAnsi="HendersonSansW00-BasicLight" w:cs="Garamond"/>
        </w:rPr>
      </w:pPr>
    </w:p>
    <w:p w14:paraId="230AE9DF" w14:textId="4DD8F67C" w:rsidR="009D3282" w:rsidRPr="00C85C82" w:rsidRDefault="009D3282" w:rsidP="00533DC0">
      <w:pPr>
        <w:keepNext/>
        <w:numPr>
          <w:ilvl w:val="0"/>
          <w:numId w:val="8"/>
        </w:numPr>
        <w:tabs>
          <w:tab w:val="left" w:pos="-720"/>
        </w:tabs>
        <w:spacing w:after="0" w:line="240" w:lineRule="auto"/>
        <w:ind w:left="709"/>
        <w:jc w:val="both"/>
        <w:rPr>
          <w:rFonts w:ascii="HendersonSansW00-BasicLight" w:eastAsia="Garamond" w:hAnsi="HendersonSansW00-BasicLight" w:cs="Garamond"/>
          <w:b/>
          <w:color w:val="000000"/>
        </w:rPr>
      </w:pPr>
      <w:r w:rsidRPr="00C85C82">
        <w:rPr>
          <w:rFonts w:ascii="HendersonSansW00-BasicLight" w:eastAsia="Garamond" w:hAnsi="HendersonSansW00-BasicLight" w:cs="Garamond"/>
          <w:b/>
          <w:color w:val="000000"/>
        </w:rPr>
        <w:t xml:space="preserve">DEJAR SIN EFECTO EL CONCURSO </w:t>
      </w:r>
    </w:p>
    <w:p w14:paraId="2FE0236A" w14:textId="77777777" w:rsidR="00611CC2" w:rsidRDefault="00611CC2" w:rsidP="00533DC0">
      <w:pPr>
        <w:autoSpaceDE w:val="0"/>
        <w:autoSpaceDN w:val="0"/>
        <w:adjustRightInd w:val="0"/>
        <w:spacing w:after="0" w:line="240" w:lineRule="auto"/>
        <w:rPr>
          <w:rFonts w:ascii="HendersonSansW00-BasicLight" w:eastAsia="Garamond" w:hAnsi="HendersonSansW00-BasicLight" w:cs="Garamond"/>
          <w:color w:val="000000"/>
        </w:rPr>
      </w:pPr>
    </w:p>
    <w:p w14:paraId="3DFB4C49" w14:textId="1DFCC2B1" w:rsidR="009D3282" w:rsidRDefault="009D3282" w:rsidP="00533DC0">
      <w:pPr>
        <w:autoSpaceDE w:val="0"/>
        <w:autoSpaceDN w:val="0"/>
        <w:adjustRightInd w:val="0"/>
        <w:spacing w:after="0" w:line="240" w:lineRule="auto"/>
        <w:jc w:val="both"/>
        <w:rPr>
          <w:rFonts w:ascii="HendersonSansW00-BasicLight" w:eastAsia="Garamond" w:hAnsi="HendersonSansW00-BasicLight" w:cs="Garamond"/>
          <w:color w:val="000000"/>
        </w:rPr>
      </w:pPr>
      <w:r w:rsidRPr="00C85C82">
        <w:rPr>
          <w:rFonts w:ascii="HendersonSansW00-BasicLight" w:eastAsia="Garamond" w:hAnsi="HendersonSansW00-BasicLight" w:cs="Garamond"/>
          <w:color w:val="000000"/>
        </w:rPr>
        <w:t xml:space="preserve">Antes de recibir ofertas, por razones de interés público o institucional, la </w:t>
      </w:r>
      <w:r w:rsidR="008F0FE7" w:rsidRPr="008F0FE7">
        <w:rPr>
          <w:rFonts w:ascii="HendersonSansW00-BasicLight" w:eastAsia="Garamond" w:hAnsi="HendersonSansW00-BasicLight" w:cs="Garamond"/>
          <w:b/>
          <w:color w:val="000000"/>
        </w:rPr>
        <w:t>ADMINISTRACIÓN</w:t>
      </w:r>
      <w:r w:rsidRPr="00C85C82">
        <w:rPr>
          <w:rFonts w:ascii="HendersonSansW00-BasicLight" w:eastAsia="Garamond" w:hAnsi="HendersonSansW00-BasicLight" w:cs="Garamond"/>
          <w:color w:val="000000"/>
        </w:rPr>
        <w:t>, podrá dejar sin efecto el respectivo concurso dejando constancia de su decisión mediante</w:t>
      </w:r>
      <w:r w:rsidR="00611CC2">
        <w:rPr>
          <w:rFonts w:ascii="HendersonSansW00-BasicLight" w:eastAsia="Garamond" w:hAnsi="HendersonSansW00-BasicLight" w:cs="Garamond"/>
          <w:color w:val="000000"/>
        </w:rPr>
        <w:t xml:space="preserve"> </w:t>
      </w:r>
      <w:r w:rsidRPr="00C85C82">
        <w:rPr>
          <w:rFonts w:ascii="HendersonSansW00-BasicLight" w:eastAsia="Garamond" w:hAnsi="HendersonSansW00-BasicLight" w:cs="Garamond"/>
          <w:color w:val="000000"/>
        </w:rPr>
        <w:t>una resolución motivada.</w:t>
      </w:r>
    </w:p>
    <w:p w14:paraId="04C5CCBB" w14:textId="363863D9" w:rsidR="005545D3" w:rsidRDefault="005545D3" w:rsidP="00533DC0">
      <w:pPr>
        <w:autoSpaceDE w:val="0"/>
        <w:autoSpaceDN w:val="0"/>
        <w:adjustRightInd w:val="0"/>
        <w:spacing w:after="0" w:line="240" w:lineRule="auto"/>
        <w:jc w:val="both"/>
        <w:rPr>
          <w:rFonts w:ascii="HendersonSansW00-BasicLight" w:eastAsia="Garamond" w:hAnsi="HendersonSansW00-BasicLight" w:cs="Garamond"/>
          <w:color w:val="000000"/>
        </w:rPr>
      </w:pPr>
    </w:p>
    <w:p w14:paraId="2C5B3AC6" w14:textId="77777777" w:rsidR="005545D3" w:rsidRPr="00C85C82" w:rsidRDefault="005545D3" w:rsidP="00533DC0">
      <w:pPr>
        <w:autoSpaceDE w:val="0"/>
        <w:autoSpaceDN w:val="0"/>
        <w:adjustRightInd w:val="0"/>
        <w:spacing w:after="0" w:line="240" w:lineRule="auto"/>
        <w:jc w:val="both"/>
        <w:rPr>
          <w:rFonts w:ascii="HendersonSansW00-BasicLight" w:eastAsia="Garamond" w:hAnsi="HendersonSansW00-BasicLight" w:cs="Garamond"/>
          <w:color w:val="000000"/>
        </w:rPr>
      </w:pPr>
    </w:p>
    <w:p w14:paraId="078A58EF" w14:textId="36676E06" w:rsidR="006B2BC2" w:rsidRDefault="006B2BC2" w:rsidP="00533DC0">
      <w:pPr>
        <w:pBdr>
          <w:top w:val="nil"/>
          <w:left w:val="nil"/>
          <w:bottom w:val="nil"/>
          <w:right w:val="nil"/>
          <w:between w:val="nil"/>
        </w:pBdr>
        <w:tabs>
          <w:tab w:val="left" w:pos="-720"/>
          <w:tab w:val="left" w:pos="0"/>
          <w:tab w:val="left" w:pos="720"/>
        </w:tabs>
        <w:spacing w:after="0" w:line="240" w:lineRule="auto"/>
        <w:jc w:val="both"/>
        <w:rPr>
          <w:rFonts w:ascii="HendersonSansW00-BasicLight" w:eastAsia="Garamond" w:hAnsi="HendersonSansW00-BasicLight" w:cs="Garamond"/>
          <w:color w:val="000000"/>
        </w:rPr>
      </w:pPr>
    </w:p>
    <w:p w14:paraId="113860F6" w14:textId="77777777" w:rsidR="001B50FA" w:rsidRDefault="001B50FA" w:rsidP="00533DC0">
      <w:pPr>
        <w:pBdr>
          <w:top w:val="nil"/>
          <w:left w:val="nil"/>
          <w:bottom w:val="nil"/>
          <w:right w:val="nil"/>
          <w:between w:val="nil"/>
        </w:pBdr>
        <w:tabs>
          <w:tab w:val="left" w:pos="-720"/>
          <w:tab w:val="left" w:pos="0"/>
          <w:tab w:val="left" w:pos="720"/>
        </w:tabs>
        <w:spacing w:after="0" w:line="240" w:lineRule="auto"/>
        <w:jc w:val="both"/>
        <w:rPr>
          <w:rFonts w:ascii="HendersonSansW00-BasicLight" w:eastAsia="Garamond" w:hAnsi="HendersonSansW00-BasicLight" w:cs="Garamond"/>
          <w:color w:val="000000"/>
        </w:rPr>
      </w:pPr>
    </w:p>
    <w:p w14:paraId="3DF571F1" w14:textId="4973F875" w:rsidR="00BD55DE" w:rsidRPr="003F00DA" w:rsidRDefault="003F00DA" w:rsidP="00533DC0">
      <w:pPr>
        <w:keepNext/>
        <w:keepLines/>
        <w:spacing w:before="480" w:after="0" w:line="240" w:lineRule="auto"/>
        <w:jc w:val="center"/>
        <w:rPr>
          <w:rFonts w:ascii="HendersonSansW00-BasicLight" w:eastAsia="Garamond" w:hAnsi="HendersonSansW00-BasicLight" w:cs="Garamond"/>
          <w:b/>
        </w:rPr>
      </w:pPr>
      <w:r>
        <w:rPr>
          <w:rFonts w:ascii="HendersonSansW00-BasicLight" w:eastAsia="Garamond" w:hAnsi="HendersonSansW00-BasicLight" w:cs="Garamond"/>
          <w:b/>
        </w:rPr>
        <w:t>A</w:t>
      </w:r>
      <w:r w:rsidR="00A33DDC" w:rsidRPr="003F00DA">
        <w:rPr>
          <w:rFonts w:ascii="HendersonSansW00-BasicLight" w:eastAsia="Garamond" w:hAnsi="HendersonSansW00-BasicLight" w:cs="Garamond"/>
          <w:b/>
        </w:rPr>
        <w:t>NEXO No. 1</w:t>
      </w:r>
    </w:p>
    <w:p w14:paraId="0C21109B" w14:textId="77777777" w:rsidR="00BD55DE" w:rsidRPr="003F00DA" w:rsidRDefault="00A33DDC" w:rsidP="00533DC0">
      <w:pPr>
        <w:spacing w:after="0" w:line="240" w:lineRule="auto"/>
        <w:jc w:val="center"/>
        <w:rPr>
          <w:rFonts w:ascii="HendersonSansW00-BasicLight" w:eastAsia="Garamond" w:hAnsi="HendersonSansW00-BasicLight" w:cs="Garamond"/>
          <w:b/>
        </w:rPr>
      </w:pPr>
      <w:r w:rsidRPr="003F00DA">
        <w:rPr>
          <w:rFonts w:ascii="HendersonSansW00-BasicLight" w:eastAsia="Garamond" w:hAnsi="HendersonSansW00-BasicLight" w:cs="Garamond"/>
          <w:b/>
        </w:rPr>
        <w:t>INSTRUCTIVO PARA LA PRESENTACIÓN</w:t>
      </w:r>
    </w:p>
    <w:p w14:paraId="6B86CCEB" w14:textId="77777777" w:rsidR="00BD55DE" w:rsidRPr="003F00DA" w:rsidRDefault="00A33DDC" w:rsidP="00533DC0">
      <w:pPr>
        <w:spacing w:after="0" w:line="240" w:lineRule="auto"/>
        <w:jc w:val="center"/>
        <w:rPr>
          <w:rFonts w:ascii="HendersonSansW00-BasicLight" w:eastAsia="Garamond" w:hAnsi="HendersonSansW00-BasicLight" w:cs="Garamond"/>
          <w:b/>
        </w:rPr>
      </w:pPr>
      <w:r w:rsidRPr="003F00DA">
        <w:rPr>
          <w:rFonts w:ascii="HendersonSansW00-BasicLight" w:eastAsia="Garamond" w:hAnsi="HendersonSansW00-BasicLight" w:cs="Garamond"/>
          <w:b/>
        </w:rPr>
        <w:t>DE LA INFORMACIÓN FINANCIERA DEL OFERENTE</w:t>
      </w:r>
    </w:p>
    <w:p w14:paraId="47D96196" w14:textId="77777777" w:rsidR="00707A18" w:rsidRPr="003F00DA" w:rsidRDefault="00707A18" w:rsidP="00707A18">
      <w:pPr>
        <w:spacing w:after="0" w:line="240" w:lineRule="auto"/>
        <w:jc w:val="both"/>
        <w:rPr>
          <w:rFonts w:ascii="HendersonSansW00-BasicLight" w:eastAsia="Garamond" w:hAnsi="HendersonSansW00-BasicLight" w:cs="Garamond"/>
          <w:b/>
        </w:rPr>
      </w:pPr>
    </w:p>
    <w:p w14:paraId="17C0AE55"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1. PROPÓSITO Y ALCANCE</w:t>
      </w:r>
    </w:p>
    <w:p w14:paraId="55ECB424"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Este anexo establece la información financiera que debe aportar el OFERENTE y los criterios con los cuales la ADMINISTRACIÓN verificará su idoneidad financiera para ejecutar el estudio objeto de este Concurso Público. La evaluación financiera se realiza únicamente como requisito de admisibilidad; no otorga puntaje en el sistema de valoración y comparación de antecedentes, cuya calificación es exclusivamente técnica conforme al Anexo No. 3.</w:t>
      </w:r>
    </w:p>
    <w:p w14:paraId="74C7AAEE"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Los requerimientos se han definido bajo el principio de proporcionalidad, atendiendo a: (i) la naturaleza consultiva del objeto contractual —estudios técnicos para la elaboración de planos, diseños y presupuestos de infraestructura hídrica de cinco Asociaciones Administradoras de Sistemas de Acueductos y Alcantarillados Comunales (ASADAS) del Cantón de Buenos Aires, Puntarenas—; (ii) la duración del estudio y los trámites requeridos ante el AyA, el CFIA y la SETENA; y (iii) la modalidad de pago en seis tramos contra aprobación de producto (quince por ciento por cada uno de los cinco informes parciales y veinticinco por ciento por el informe final), con una retención del quince por ciento de cada desembolso liberada contra aprobación del AyA y recepción satisfactoria del informe final, sin anticipo. Bajo estas condiciones, el estándar financiero se orienta a asegurar la solidez y capacidad operativa del OFERENTE para sostener el contrato, sin introducir barreras injustificadas a la participación.</w:t>
      </w:r>
    </w:p>
    <w:p w14:paraId="2AF57535"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2. DOCUMENTOS QUE DEBE PRESENTAR EL OFERENTE</w:t>
      </w:r>
    </w:p>
    <w:p w14:paraId="259E38C3"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Junto con sus antecedentes preliminares, el OFERENTE deberá adjuntar la siguiente documentación financiera:</w:t>
      </w:r>
    </w:p>
    <w:p w14:paraId="41F467C2"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lastRenderedPageBreak/>
        <w:t>a) Estados financieros auditados</w:t>
      </w:r>
      <w:r w:rsidRPr="003F00DA">
        <w:rPr>
          <w:rFonts w:ascii="HendersonSansW00-BasicLight" w:hAnsi="HendersonSansW00-BasicLight"/>
        </w:rPr>
        <w:t xml:space="preserve"> correspondientes a los dos (2) últimos períodos fiscales concluidos, con dictamen emitido por Contador Público Autorizado (CPA) incorporado al Colegio de Contadores Públicos de Costa Rica, con fe pública. Los estados financieros deberán incluir:</w:t>
      </w:r>
    </w:p>
    <w:p w14:paraId="583D4BED"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Dictamen del auditor externo.</w:t>
      </w:r>
    </w:p>
    <w:p w14:paraId="4296A3C1"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Estado de Situación (Balance General).</w:t>
      </w:r>
    </w:p>
    <w:p w14:paraId="28150918"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Estado de Resultados.</w:t>
      </w:r>
    </w:p>
    <w:p w14:paraId="4A0A995D"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Estado de Flujos de Efectivo.</w:t>
      </w:r>
    </w:p>
    <w:p w14:paraId="13AA4EBE"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Estado de Cambios en el Patrimonio.</w:t>
      </w:r>
    </w:p>
    <w:p w14:paraId="079B8D38"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Notas a los estados financieros.</w:t>
      </w:r>
    </w:p>
    <w:p w14:paraId="758547AD"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b) </w:t>
      </w:r>
      <w:r w:rsidRPr="003F00DA">
        <w:rPr>
          <w:rFonts w:ascii="HendersonSansW00-BasicLight" w:hAnsi="HendersonSansW00-BasicLight"/>
        </w:rPr>
        <w:t>Cuadro resumen de variables financieras, conforme a la plantilla del punto 6 de este anexo, completado con base en los estados financieros auditados presentados.</w:t>
      </w:r>
    </w:p>
    <w:p w14:paraId="151BA9BE"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c) </w:t>
      </w:r>
      <w:r w:rsidRPr="003F00DA">
        <w:rPr>
          <w:rFonts w:ascii="HendersonSansW00-BasicLight" w:hAnsi="HendersonSansW00-BasicLight"/>
        </w:rPr>
        <w:t>Declaración jurada del representante legal en la que se manifieste que la información financiera aportada es veraz y fidedigna, y que el OFERENTE no se encuentra en proceso de quiebra, insolvencia, concurso de acreedores, intervención o liquidación. Esta declaración puede incorporarse dentro de la declaración jurada general de veracidad requerida en el pliego principal.</w:t>
      </w:r>
    </w:p>
    <w:p w14:paraId="614B9518"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i/>
          <w:iCs/>
          <w:sz w:val="20"/>
          <w:szCs w:val="20"/>
        </w:rPr>
        <w:t>Los OFERENTES extranjeros no domiciliados podrán presentar los estados financieros equivalentes de su país de origen, auditados por un profesional habilitado según la normativa aplicable en dicha jurisdicción, acompañados de traducción oficial cuando corresponda. Los OFERENTES que participen en consorcio deberán presentar la documentación requerida en este punto por cada miembro del consorcio, por separado.</w:t>
      </w:r>
    </w:p>
    <w:p w14:paraId="2BA3A6F7"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3. CONDICIONES SOBRE EL PERÍODO FISCAL A PRESENTAR</w:t>
      </w:r>
    </w:p>
    <w:p w14:paraId="40492520"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Para determinar el último período fiscal a presentar, se aplicarán las siguientes reglas:</w:t>
      </w:r>
    </w:p>
    <w:p w14:paraId="51221CD5"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Si la fecha de recepción de los antecedentes preliminares se ubica dentro de los tres (3) meses posteriores al cierre fiscal del año en curso, se tomará como el más reciente el estado financiero del año anterior.</w:t>
      </w:r>
    </w:p>
    <w:p w14:paraId="24B8F9E9" w14:textId="77777777" w:rsidR="00707A18" w:rsidRPr="003F00DA" w:rsidRDefault="00707A18" w:rsidP="00707A18">
      <w:pPr>
        <w:pStyle w:val="Prrafodelista"/>
        <w:numPr>
          <w:ilvl w:val="0"/>
          <w:numId w:val="49"/>
        </w:numPr>
        <w:spacing w:after="80" w:line="280" w:lineRule="auto"/>
        <w:contextualSpacing w:val="0"/>
        <w:jc w:val="both"/>
        <w:rPr>
          <w:rFonts w:ascii="HendersonSansW00-BasicLight" w:hAnsi="HendersonSansW00-BasicLight"/>
        </w:rPr>
      </w:pPr>
      <w:r w:rsidRPr="003F00DA">
        <w:rPr>
          <w:rFonts w:ascii="HendersonSansW00-BasicLight" w:hAnsi="HendersonSansW00-BasicLight"/>
        </w:rPr>
        <w:t>Si la fecha de recepción de los antecedentes preliminares está antes del cierre del período fiscal del año en curso, se tomará como el más reciente el estado financiero del año anterior.</w:t>
      </w:r>
    </w:p>
    <w:p w14:paraId="67583403"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En todo caso, la información contable presentada deberá incluir los dos (2) últimos períodos fiscales concluidos, ambos auditados.</w:t>
      </w:r>
    </w:p>
    <w:p w14:paraId="3DD04529"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4. CRITERIOS DE ADMISIBILIDAD FINANCIERA</w:t>
      </w:r>
    </w:p>
    <w:p w14:paraId="79FA0936"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La ADMINISTRACIÓN, a través de la Comisión Calificadora, verificará el cumplimiento simultáneo de los siguientes seis criterios. Todos son de cumplimiento obligatorio y de carácter binario (cumple / no cumple):</w:t>
      </w:r>
    </w:p>
    <w:p w14:paraId="08405C39"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lastRenderedPageBreak/>
        <w:t xml:space="preserve">a) Integridad documental. </w:t>
      </w:r>
      <w:r w:rsidRPr="003F00DA">
        <w:rPr>
          <w:rFonts w:ascii="HendersonSansW00-BasicLight" w:hAnsi="HendersonSansW00-BasicLight"/>
        </w:rPr>
        <w:t>El OFERENTE presentó la documentación completa requerida en el punto 2, y existe congruencia y relación lógica entre los datos e información de los diferentes documentos presentados.</w:t>
      </w:r>
    </w:p>
    <w:p w14:paraId="281EB712"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b) Solvencia patrimonial. </w:t>
      </w:r>
      <w:r w:rsidRPr="003F00DA">
        <w:rPr>
          <w:rFonts w:ascii="HendersonSansW00-BasicLight" w:hAnsi="HendersonSansW00-BasicLight"/>
        </w:rPr>
        <w:t>El patrimonio del OFERENTE al cierre del último período fiscal es positivo (Activo total &gt; Pasivo total).</w:t>
      </w:r>
    </w:p>
    <w:p w14:paraId="3D620881"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c) Continuidad operativa. </w:t>
      </w:r>
      <w:r w:rsidRPr="003F00DA">
        <w:rPr>
          <w:rFonts w:ascii="HendersonSansW00-BasicLight" w:hAnsi="HendersonSansW00-BasicLight"/>
        </w:rPr>
        <w:t>El OFERENTE no se encuentra en proceso de quiebra, insolvencia, concurso de acreedores, intervención o liquidación, según la declaración jurada aportada.</w:t>
      </w:r>
    </w:p>
    <w:p w14:paraId="74ED03F8" w14:textId="6DFA836C"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d) Solidez patrimonial. </w:t>
      </w:r>
      <w:r w:rsidRPr="003F00DA">
        <w:rPr>
          <w:rFonts w:ascii="HendersonSansW00-BasicLight" w:hAnsi="HendersonSansW00-BasicLight"/>
        </w:rPr>
        <w:t>El patrimonio del OFERENTE al cierre del último período fiscal es igual o superior a ₡50.000.000 (cincuenta millones de colones), o su equivalente en dólares de los Estados Unidos de América al tipo de cambio de referencia para la venta del Banco Central de Costa Rica vigente a la fecha de cierre de cada período fiscal. Este criterio asegura un respaldo patrimonial mínimo acorde con la escala del estudio.</w:t>
      </w:r>
    </w:p>
    <w:p w14:paraId="43BE2965" w14:textId="77777777"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e) Liquidez mínima. </w:t>
      </w:r>
      <w:r w:rsidRPr="003F00DA">
        <w:rPr>
          <w:rFonts w:ascii="HendersonSansW00-BasicLight" w:hAnsi="HendersonSansW00-BasicLight"/>
        </w:rPr>
        <w:t>La razón corriente (Activo circulante / Pasivo circulante) del OFERENTE al cierre del último período fiscal es igual o superior a 1,0. Este criterio verifica la capacidad del OFERENTE para atender sus obligaciones de corto plazo mientras ejecuta el contrato.</w:t>
      </w:r>
    </w:p>
    <w:p w14:paraId="7146DB89" w14:textId="110E83CB" w:rsidR="00707A18" w:rsidRPr="003F00DA" w:rsidRDefault="00707A18" w:rsidP="00707A18">
      <w:pPr>
        <w:spacing w:after="100" w:line="280" w:lineRule="auto"/>
        <w:ind w:left="360" w:hanging="360"/>
        <w:jc w:val="both"/>
        <w:rPr>
          <w:rFonts w:ascii="HendersonSansW00-BasicLight" w:hAnsi="HendersonSansW00-BasicLight"/>
        </w:rPr>
      </w:pPr>
      <w:r w:rsidRPr="003F00DA">
        <w:rPr>
          <w:rFonts w:ascii="HendersonSansW00-BasicLight" w:hAnsi="HendersonSansW00-BasicLight"/>
          <w:b/>
          <w:bCs/>
        </w:rPr>
        <w:t xml:space="preserve">f) Escala de operación. </w:t>
      </w:r>
      <w:r w:rsidRPr="003F00DA">
        <w:rPr>
          <w:rFonts w:ascii="HendersonSansW00-BasicLight" w:hAnsi="HendersonSansW00-BasicLight"/>
        </w:rPr>
        <w:t>Los ingresos operativos promedio de los dos (2) últimos períodos fiscales del OFERENTE son iguales o superiores a ₡120.000.000 (ciento veinte millones de colones), o su equivalente en dólares de los Estados Unidos de América al tipo de cambio de referencia para la venta del Banco Central de Costa Rica vigente a la fecha de cierre de cada período fiscal. Este criterio se considera un indicador razonable de que el OFERENTE opera habitualmente a la escala requerida para ejecutar el objeto contractual.</w:t>
      </w:r>
    </w:p>
    <w:p w14:paraId="4660FA6D"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El incumplimiento de cualquiera de estos criterios, no subsanado en el plazo otorgado por la ADMINISTRACIÓN, dará lugar a la exclusión del OFERENTE del procedimiento de preselección.</w:t>
      </w:r>
    </w:p>
    <w:p w14:paraId="1173F18E" w14:textId="74E2BEFC"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i/>
          <w:iCs/>
          <w:sz w:val="20"/>
          <w:szCs w:val="20"/>
        </w:rPr>
        <w:t>El cumplimiento de las obligaciones con la Caja Costarricense de Seguro Social (CCSS), el Fondo de Desarrollo Social y Asignaciones Familiares (FODESAF) y la Administración Tributaria se verifica a través de dicho Registro y, supletoriamente, del Registro Electrónico Oficial de Proveedores del sistema digital unificado, y no requiere documentación adicional en este anexo.</w:t>
      </w:r>
    </w:p>
    <w:p w14:paraId="280692C7"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5. TRATAMIENTO DE CONSORCIOS</w:t>
      </w:r>
    </w:p>
    <w:p w14:paraId="1F39ACFE"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Cuando el OFERENTE participe en asociación o consorcio, cada miembro deberá presentar por separado la documentación requerida en el punto 2, y la verificación de los criterios de admisibilidad se realizará según el siguiente tratamiento:</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2450"/>
        <w:gridCol w:w="2450"/>
      </w:tblGrid>
      <w:tr w:rsidR="00707A18" w:rsidRPr="003F00DA" w14:paraId="33532284" w14:textId="77777777" w:rsidTr="00707A18">
        <w:trPr>
          <w:tblHeader/>
          <w:jc w:val="center"/>
        </w:trPr>
        <w:tc>
          <w:tcPr>
            <w:tcW w:w="3300" w:type="dxa"/>
            <w:shd w:val="clear" w:color="auto" w:fill="1F3864"/>
            <w:tcMar>
              <w:top w:w="100" w:type="dxa"/>
              <w:left w:w="120" w:type="dxa"/>
              <w:bottom w:w="100" w:type="dxa"/>
              <w:right w:w="120" w:type="dxa"/>
            </w:tcMar>
            <w:vAlign w:val="center"/>
          </w:tcPr>
          <w:p w14:paraId="02AE57CE"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Criterio</w:t>
            </w:r>
          </w:p>
        </w:tc>
        <w:tc>
          <w:tcPr>
            <w:tcW w:w="2450" w:type="dxa"/>
            <w:shd w:val="clear" w:color="auto" w:fill="1F3864"/>
            <w:tcMar>
              <w:top w:w="100" w:type="dxa"/>
              <w:left w:w="120" w:type="dxa"/>
              <w:bottom w:w="100" w:type="dxa"/>
              <w:right w:w="120" w:type="dxa"/>
            </w:tcMar>
            <w:vAlign w:val="center"/>
          </w:tcPr>
          <w:p w14:paraId="756B30E8"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Firma individual</w:t>
            </w:r>
          </w:p>
        </w:tc>
        <w:tc>
          <w:tcPr>
            <w:tcW w:w="2450" w:type="dxa"/>
            <w:shd w:val="clear" w:color="auto" w:fill="1F3864"/>
            <w:tcMar>
              <w:top w:w="100" w:type="dxa"/>
              <w:left w:w="120" w:type="dxa"/>
              <w:bottom w:w="100" w:type="dxa"/>
              <w:right w:w="120" w:type="dxa"/>
            </w:tcMar>
            <w:vAlign w:val="center"/>
          </w:tcPr>
          <w:p w14:paraId="2C402188"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Consorcio</w:t>
            </w:r>
          </w:p>
        </w:tc>
      </w:tr>
      <w:tr w:rsidR="00707A18" w:rsidRPr="003F00DA" w14:paraId="10129A20" w14:textId="77777777" w:rsidTr="00707A18">
        <w:trPr>
          <w:jc w:val="center"/>
        </w:trPr>
        <w:tc>
          <w:tcPr>
            <w:tcW w:w="3300" w:type="dxa"/>
            <w:tcMar>
              <w:top w:w="100" w:type="dxa"/>
              <w:left w:w="120" w:type="dxa"/>
              <w:bottom w:w="100" w:type="dxa"/>
              <w:right w:w="120" w:type="dxa"/>
            </w:tcMar>
            <w:vAlign w:val="center"/>
          </w:tcPr>
          <w:p w14:paraId="17600011"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a) Integridad documental</w:t>
            </w:r>
          </w:p>
        </w:tc>
        <w:tc>
          <w:tcPr>
            <w:tcW w:w="2450" w:type="dxa"/>
            <w:tcMar>
              <w:top w:w="100" w:type="dxa"/>
              <w:left w:w="120" w:type="dxa"/>
              <w:bottom w:w="100" w:type="dxa"/>
              <w:right w:w="120" w:type="dxa"/>
            </w:tcMar>
            <w:vAlign w:val="center"/>
          </w:tcPr>
          <w:p w14:paraId="58EF450C"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6E38B207"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Cada miembro cumple individualmente</w:t>
            </w:r>
          </w:p>
        </w:tc>
      </w:tr>
      <w:tr w:rsidR="00707A18" w:rsidRPr="003F00DA" w14:paraId="05CD4AE2" w14:textId="77777777" w:rsidTr="00707A18">
        <w:trPr>
          <w:jc w:val="center"/>
        </w:trPr>
        <w:tc>
          <w:tcPr>
            <w:tcW w:w="3300" w:type="dxa"/>
            <w:tcMar>
              <w:top w:w="100" w:type="dxa"/>
              <w:left w:w="120" w:type="dxa"/>
              <w:bottom w:w="100" w:type="dxa"/>
              <w:right w:w="120" w:type="dxa"/>
            </w:tcMar>
            <w:vAlign w:val="center"/>
          </w:tcPr>
          <w:p w14:paraId="34AF8089"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lastRenderedPageBreak/>
              <w:t>b) Solvencia patrimonial (patrimonio positivo)</w:t>
            </w:r>
          </w:p>
        </w:tc>
        <w:tc>
          <w:tcPr>
            <w:tcW w:w="2450" w:type="dxa"/>
            <w:tcMar>
              <w:top w:w="100" w:type="dxa"/>
              <w:left w:w="120" w:type="dxa"/>
              <w:bottom w:w="100" w:type="dxa"/>
              <w:right w:w="120" w:type="dxa"/>
            </w:tcMar>
            <w:vAlign w:val="center"/>
          </w:tcPr>
          <w:p w14:paraId="4BE2E97A"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5B23C1C3"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Cada miembro cumple individualmente</w:t>
            </w:r>
          </w:p>
        </w:tc>
      </w:tr>
      <w:tr w:rsidR="00707A18" w:rsidRPr="003F00DA" w14:paraId="6DD8A0B2" w14:textId="77777777" w:rsidTr="00707A18">
        <w:trPr>
          <w:jc w:val="center"/>
        </w:trPr>
        <w:tc>
          <w:tcPr>
            <w:tcW w:w="3300" w:type="dxa"/>
            <w:tcMar>
              <w:top w:w="100" w:type="dxa"/>
              <w:left w:w="120" w:type="dxa"/>
              <w:bottom w:w="100" w:type="dxa"/>
              <w:right w:w="120" w:type="dxa"/>
            </w:tcMar>
            <w:vAlign w:val="center"/>
          </w:tcPr>
          <w:p w14:paraId="2FBE68F0"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 Continuidad operativa</w:t>
            </w:r>
          </w:p>
        </w:tc>
        <w:tc>
          <w:tcPr>
            <w:tcW w:w="2450" w:type="dxa"/>
            <w:tcMar>
              <w:top w:w="100" w:type="dxa"/>
              <w:left w:w="120" w:type="dxa"/>
              <w:bottom w:w="100" w:type="dxa"/>
              <w:right w:w="120" w:type="dxa"/>
            </w:tcMar>
            <w:vAlign w:val="center"/>
          </w:tcPr>
          <w:p w14:paraId="36CC98CD"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620ED39A"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Cada miembro cumple individualmente</w:t>
            </w:r>
          </w:p>
        </w:tc>
      </w:tr>
      <w:tr w:rsidR="00707A18" w:rsidRPr="003F00DA" w14:paraId="53CED35B" w14:textId="77777777" w:rsidTr="00707A18">
        <w:trPr>
          <w:jc w:val="center"/>
        </w:trPr>
        <w:tc>
          <w:tcPr>
            <w:tcW w:w="3300" w:type="dxa"/>
            <w:tcMar>
              <w:top w:w="100" w:type="dxa"/>
              <w:left w:w="120" w:type="dxa"/>
              <w:bottom w:w="100" w:type="dxa"/>
              <w:right w:w="120" w:type="dxa"/>
            </w:tcMar>
            <w:vAlign w:val="center"/>
          </w:tcPr>
          <w:p w14:paraId="2A99C021"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d) Solidez patrimonial (patrimonio ≥ ₡50 M)</w:t>
            </w:r>
          </w:p>
        </w:tc>
        <w:tc>
          <w:tcPr>
            <w:tcW w:w="2450" w:type="dxa"/>
            <w:tcMar>
              <w:top w:w="100" w:type="dxa"/>
              <w:left w:w="120" w:type="dxa"/>
              <w:bottom w:w="100" w:type="dxa"/>
              <w:right w:w="120" w:type="dxa"/>
            </w:tcMar>
            <w:vAlign w:val="center"/>
          </w:tcPr>
          <w:p w14:paraId="676C8861"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49B8DBA3"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Suma de patrimonios de los miembros</w:t>
            </w:r>
          </w:p>
        </w:tc>
      </w:tr>
      <w:tr w:rsidR="00707A18" w:rsidRPr="003F00DA" w14:paraId="6E7268D7" w14:textId="77777777" w:rsidTr="00707A18">
        <w:trPr>
          <w:jc w:val="center"/>
        </w:trPr>
        <w:tc>
          <w:tcPr>
            <w:tcW w:w="3300" w:type="dxa"/>
            <w:tcMar>
              <w:top w:w="100" w:type="dxa"/>
              <w:left w:w="120" w:type="dxa"/>
              <w:bottom w:w="100" w:type="dxa"/>
              <w:right w:w="120" w:type="dxa"/>
            </w:tcMar>
            <w:vAlign w:val="center"/>
          </w:tcPr>
          <w:p w14:paraId="408F2D6A"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e) Liquidez mínima (razón corriente ≥ 1,0)</w:t>
            </w:r>
          </w:p>
        </w:tc>
        <w:tc>
          <w:tcPr>
            <w:tcW w:w="2450" w:type="dxa"/>
            <w:tcMar>
              <w:top w:w="100" w:type="dxa"/>
              <w:left w:w="120" w:type="dxa"/>
              <w:bottom w:w="100" w:type="dxa"/>
              <w:right w:w="120" w:type="dxa"/>
            </w:tcMar>
            <w:vAlign w:val="center"/>
          </w:tcPr>
          <w:p w14:paraId="4FCE0FCD"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2F411293"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Cada miembro cumple individualmente</w:t>
            </w:r>
          </w:p>
        </w:tc>
      </w:tr>
      <w:tr w:rsidR="00707A18" w:rsidRPr="003F00DA" w14:paraId="3415B670" w14:textId="77777777" w:rsidTr="00707A18">
        <w:trPr>
          <w:jc w:val="center"/>
        </w:trPr>
        <w:tc>
          <w:tcPr>
            <w:tcW w:w="3300" w:type="dxa"/>
            <w:tcMar>
              <w:top w:w="100" w:type="dxa"/>
              <w:left w:w="120" w:type="dxa"/>
              <w:bottom w:w="100" w:type="dxa"/>
              <w:right w:w="120" w:type="dxa"/>
            </w:tcMar>
            <w:vAlign w:val="center"/>
          </w:tcPr>
          <w:p w14:paraId="362CFF56"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f) Escala de operación (ingresos ≥ ₡120 M)</w:t>
            </w:r>
          </w:p>
        </w:tc>
        <w:tc>
          <w:tcPr>
            <w:tcW w:w="2450" w:type="dxa"/>
            <w:tcMar>
              <w:top w:w="100" w:type="dxa"/>
              <w:left w:w="120" w:type="dxa"/>
              <w:bottom w:w="100" w:type="dxa"/>
              <w:right w:w="120" w:type="dxa"/>
            </w:tcMar>
            <w:vAlign w:val="center"/>
          </w:tcPr>
          <w:p w14:paraId="774C4A33"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Cumple</w:t>
            </w:r>
          </w:p>
        </w:tc>
        <w:tc>
          <w:tcPr>
            <w:tcW w:w="2450" w:type="dxa"/>
            <w:tcMar>
              <w:top w:w="100" w:type="dxa"/>
              <w:left w:w="120" w:type="dxa"/>
              <w:bottom w:w="100" w:type="dxa"/>
              <w:right w:w="120" w:type="dxa"/>
            </w:tcMar>
            <w:vAlign w:val="center"/>
          </w:tcPr>
          <w:p w14:paraId="44C77D10"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Suma de ingresos operativos de los miembros</w:t>
            </w:r>
          </w:p>
        </w:tc>
      </w:tr>
    </w:tbl>
    <w:p w14:paraId="4004C88B" w14:textId="77777777" w:rsidR="00707A18" w:rsidRPr="003F00DA" w:rsidRDefault="00707A18" w:rsidP="00707A18">
      <w:pPr>
        <w:spacing w:line="300" w:lineRule="auto"/>
        <w:jc w:val="both"/>
        <w:rPr>
          <w:rFonts w:ascii="HendersonSansW00-BasicLight" w:hAnsi="HendersonSansW00-BasicLight"/>
        </w:rPr>
      </w:pPr>
      <w:r w:rsidRPr="003F00DA">
        <w:rPr>
          <w:rFonts w:ascii="HendersonSansW00-BasicLight" w:hAnsi="HendersonSansW00-BasicLight"/>
        </w:rPr>
        <w:t xml:space="preserve"> </w:t>
      </w:r>
    </w:p>
    <w:p w14:paraId="128E5EE1"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i/>
          <w:iCs/>
          <w:sz w:val="20"/>
          <w:szCs w:val="20"/>
        </w:rPr>
        <w:t>En los criterios donde procede la suma consorciada (solidez patrimonial y escala de operación), la ADMINISTRACIÓN consolidará los datos individuales presentados por cada miembro para verificar el cumplimiento del umbral establecido.</w:t>
      </w:r>
    </w:p>
    <w:p w14:paraId="7ADAA42B"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6. CUADRO RESUMEN DE VARIABLES FINANCIERAS</w:t>
      </w:r>
    </w:p>
    <w:p w14:paraId="30D8FBEF"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El OFERENTE deberá completar el siguiente cuadro con las cifras extraídas de sus estados financieros auditados. Los montos deberán expresarse en colones costarricenses. En caso de estados en moneda extranjera, se aplicará el tipo de cambio de referencia para la venta del Banco Central de Costa Rica vigente al cierre del respectivo período fiscal. En caso de consorcio, cada miembro deberá presentar su propio cuadro resumen.</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2100"/>
        <w:gridCol w:w="2100"/>
      </w:tblGrid>
      <w:tr w:rsidR="00707A18" w:rsidRPr="003F00DA" w14:paraId="57173874" w14:textId="77777777" w:rsidTr="00707A18">
        <w:trPr>
          <w:tblHeader/>
          <w:jc w:val="center"/>
        </w:trPr>
        <w:tc>
          <w:tcPr>
            <w:tcW w:w="4000" w:type="dxa"/>
            <w:shd w:val="clear" w:color="auto" w:fill="1F3864"/>
            <w:tcMar>
              <w:top w:w="100" w:type="dxa"/>
              <w:left w:w="120" w:type="dxa"/>
              <w:bottom w:w="100" w:type="dxa"/>
              <w:right w:w="120" w:type="dxa"/>
            </w:tcMar>
            <w:vAlign w:val="center"/>
          </w:tcPr>
          <w:p w14:paraId="0F45D279"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Variable</w:t>
            </w:r>
          </w:p>
        </w:tc>
        <w:tc>
          <w:tcPr>
            <w:tcW w:w="2100" w:type="dxa"/>
            <w:shd w:val="clear" w:color="auto" w:fill="1F3864"/>
            <w:tcMar>
              <w:top w:w="100" w:type="dxa"/>
              <w:left w:w="120" w:type="dxa"/>
              <w:bottom w:w="100" w:type="dxa"/>
              <w:right w:w="120" w:type="dxa"/>
            </w:tcMar>
            <w:vAlign w:val="center"/>
          </w:tcPr>
          <w:p w14:paraId="04A82CD9"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Año n-2</w:t>
            </w:r>
          </w:p>
        </w:tc>
        <w:tc>
          <w:tcPr>
            <w:tcW w:w="2100" w:type="dxa"/>
            <w:shd w:val="clear" w:color="auto" w:fill="1F3864"/>
            <w:tcMar>
              <w:top w:w="100" w:type="dxa"/>
              <w:left w:w="120" w:type="dxa"/>
              <w:bottom w:w="100" w:type="dxa"/>
              <w:right w:w="120" w:type="dxa"/>
            </w:tcMar>
            <w:vAlign w:val="center"/>
          </w:tcPr>
          <w:p w14:paraId="42CD3FD9"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b/>
                <w:bCs/>
                <w:color w:val="FFFFFF"/>
                <w:sz w:val="20"/>
                <w:szCs w:val="20"/>
              </w:rPr>
              <w:t>Año n-1</w:t>
            </w:r>
          </w:p>
        </w:tc>
      </w:tr>
      <w:tr w:rsidR="00707A18" w:rsidRPr="003F00DA" w14:paraId="4212385F" w14:textId="77777777" w:rsidTr="00707A18">
        <w:trPr>
          <w:jc w:val="center"/>
        </w:trPr>
        <w:tc>
          <w:tcPr>
            <w:tcW w:w="8200" w:type="dxa"/>
            <w:gridSpan w:val="3"/>
            <w:shd w:val="clear" w:color="auto" w:fill="D9E2F3"/>
            <w:tcMar>
              <w:top w:w="60" w:type="dxa"/>
              <w:left w:w="120" w:type="dxa"/>
              <w:bottom w:w="60" w:type="dxa"/>
              <w:right w:w="120" w:type="dxa"/>
            </w:tcMar>
          </w:tcPr>
          <w:p w14:paraId="30DDA511" w14:textId="77777777" w:rsidR="00707A18" w:rsidRPr="003F00DA" w:rsidRDefault="00707A18" w:rsidP="00707A18">
            <w:pPr>
              <w:jc w:val="both"/>
              <w:rPr>
                <w:rFonts w:ascii="HendersonSansW00-BasicLight" w:hAnsi="HendersonSansW00-BasicLight"/>
              </w:rPr>
            </w:pPr>
            <w:r w:rsidRPr="003F00DA">
              <w:rPr>
                <w:rFonts w:ascii="HendersonSansW00-BasicLight" w:hAnsi="HendersonSansW00-BasicLight"/>
                <w:b/>
                <w:bCs/>
                <w:sz w:val="20"/>
                <w:szCs w:val="20"/>
              </w:rPr>
              <w:t>Balance general (al cierre del período)</w:t>
            </w:r>
          </w:p>
        </w:tc>
      </w:tr>
      <w:tr w:rsidR="00707A18" w:rsidRPr="003F00DA" w14:paraId="1DD7DF0C" w14:textId="77777777" w:rsidTr="00707A18">
        <w:trPr>
          <w:jc w:val="center"/>
        </w:trPr>
        <w:tc>
          <w:tcPr>
            <w:tcW w:w="4000" w:type="dxa"/>
            <w:tcMar>
              <w:top w:w="100" w:type="dxa"/>
              <w:left w:w="120" w:type="dxa"/>
              <w:bottom w:w="100" w:type="dxa"/>
              <w:right w:w="120" w:type="dxa"/>
            </w:tcMar>
            <w:vAlign w:val="center"/>
          </w:tcPr>
          <w:p w14:paraId="50095B05"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Activo circulante</w:t>
            </w:r>
          </w:p>
        </w:tc>
        <w:tc>
          <w:tcPr>
            <w:tcW w:w="2100" w:type="dxa"/>
            <w:tcMar>
              <w:top w:w="100" w:type="dxa"/>
              <w:left w:w="120" w:type="dxa"/>
              <w:bottom w:w="100" w:type="dxa"/>
              <w:right w:w="120" w:type="dxa"/>
            </w:tcMar>
            <w:vAlign w:val="center"/>
          </w:tcPr>
          <w:p w14:paraId="11F5A5BD"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17E3EBC0"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44F7BAA1" w14:textId="77777777" w:rsidTr="00707A18">
        <w:trPr>
          <w:jc w:val="center"/>
        </w:trPr>
        <w:tc>
          <w:tcPr>
            <w:tcW w:w="4000" w:type="dxa"/>
            <w:tcMar>
              <w:top w:w="100" w:type="dxa"/>
              <w:left w:w="120" w:type="dxa"/>
              <w:bottom w:w="100" w:type="dxa"/>
              <w:right w:w="120" w:type="dxa"/>
            </w:tcMar>
            <w:vAlign w:val="center"/>
          </w:tcPr>
          <w:p w14:paraId="7D948EF8"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Activo total</w:t>
            </w:r>
          </w:p>
        </w:tc>
        <w:tc>
          <w:tcPr>
            <w:tcW w:w="2100" w:type="dxa"/>
            <w:tcMar>
              <w:top w:w="100" w:type="dxa"/>
              <w:left w:w="120" w:type="dxa"/>
              <w:bottom w:w="100" w:type="dxa"/>
              <w:right w:w="120" w:type="dxa"/>
            </w:tcMar>
            <w:vAlign w:val="center"/>
          </w:tcPr>
          <w:p w14:paraId="473DC877"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28404730"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2C6A6081" w14:textId="77777777" w:rsidTr="00707A18">
        <w:trPr>
          <w:jc w:val="center"/>
        </w:trPr>
        <w:tc>
          <w:tcPr>
            <w:tcW w:w="4000" w:type="dxa"/>
            <w:tcMar>
              <w:top w:w="100" w:type="dxa"/>
              <w:left w:w="120" w:type="dxa"/>
              <w:bottom w:w="100" w:type="dxa"/>
              <w:right w:w="120" w:type="dxa"/>
            </w:tcMar>
            <w:vAlign w:val="center"/>
          </w:tcPr>
          <w:p w14:paraId="6EBF832F"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Pasivo circulante</w:t>
            </w:r>
          </w:p>
        </w:tc>
        <w:tc>
          <w:tcPr>
            <w:tcW w:w="2100" w:type="dxa"/>
            <w:tcMar>
              <w:top w:w="100" w:type="dxa"/>
              <w:left w:w="120" w:type="dxa"/>
              <w:bottom w:w="100" w:type="dxa"/>
              <w:right w:w="120" w:type="dxa"/>
            </w:tcMar>
            <w:vAlign w:val="center"/>
          </w:tcPr>
          <w:p w14:paraId="441893F7"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7DF1482A"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6B14D415" w14:textId="77777777" w:rsidTr="00707A18">
        <w:trPr>
          <w:jc w:val="center"/>
        </w:trPr>
        <w:tc>
          <w:tcPr>
            <w:tcW w:w="4000" w:type="dxa"/>
            <w:tcMar>
              <w:top w:w="100" w:type="dxa"/>
              <w:left w:w="120" w:type="dxa"/>
              <w:bottom w:w="100" w:type="dxa"/>
              <w:right w:w="120" w:type="dxa"/>
            </w:tcMar>
            <w:vAlign w:val="center"/>
          </w:tcPr>
          <w:p w14:paraId="08050869"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lastRenderedPageBreak/>
              <w:t>Pasivo total</w:t>
            </w:r>
          </w:p>
        </w:tc>
        <w:tc>
          <w:tcPr>
            <w:tcW w:w="2100" w:type="dxa"/>
            <w:tcMar>
              <w:top w:w="100" w:type="dxa"/>
              <w:left w:w="120" w:type="dxa"/>
              <w:bottom w:w="100" w:type="dxa"/>
              <w:right w:w="120" w:type="dxa"/>
            </w:tcMar>
            <w:vAlign w:val="center"/>
          </w:tcPr>
          <w:p w14:paraId="44206BED"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2AD93D63"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0D059AAD" w14:textId="77777777" w:rsidTr="00707A18">
        <w:trPr>
          <w:jc w:val="center"/>
        </w:trPr>
        <w:tc>
          <w:tcPr>
            <w:tcW w:w="4000" w:type="dxa"/>
            <w:tcMar>
              <w:top w:w="100" w:type="dxa"/>
              <w:left w:w="120" w:type="dxa"/>
              <w:bottom w:w="100" w:type="dxa"/>
              <w:right w:w="120" w:type="dxa"/>
            </w:tcMar>
            <w:vAlign w:val="center"/>
          </w:tcPr>
          <w:p w14:paraId="191910A8"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Patrimonio</w:t>
            </w:r>
          </w:p>
        </w:tc>
        <w:tc>
          <w:tcPr>
            <w:tcW w:w="2100" w:type="dxa"/>
            <w:tcMar>
              <w:top w:w="100" w:type="dxa"/>
              <w:left w:w="120" w:type="dxa"/>
              <w:bottom w:w="100" w:type="dxa"/>
              <w:right w:w="120" w:type="dxa"/>
            </w:tcMar>
            <w:vAlign w:val="center"/>
          </w:tcPr>
          <w:p w14:paraId="71A0CD94"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40FB8AB8"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751BF5C8" w14:textId="77777777" w:rsidTr="00707A18">
        <w:trPr>
          <w:jc w:val="center"/>
        </w:trPr>
        <w:tc>
          <w:tcPr>
            <w:tcW w:w="8200" w:type="dxa"/>
            <w:gridSpan w:val="3"/>
            <w:shd w:val="clear" w:color="auto" w:fill="D9E2F3"/>
            <w:tcMar>
              <w:top w:w="60" w:type="dxa"/>
              <w:left w:w="120" w:type="dxa"/>
              <w:bottom w:w="60" w:type="dxa"/>
              <w:right w:w="120" w:type="dxa"/>
            </w:tcMar>
          </w:tcPr>
          <w:p w14:paraId="2B0B8C8E" w14:textId="77777777" w:rsidR="00707A18" w:rsidRPr="003F00DA" w:rsidRDefault="00707A18" w:rsidP="00707A18">
            <w:pPr>
              <w:jc w:val="both"/>
              <w:rPr>
                <w:rFonts w:ascii="HendersonSansW00-BasicLight" w:hAnsi="HendersonSansW00-BasicLight"/>
              </w:rPr>
            </w:pPr>
            <w:r w:rsidRPr="003F00DA">
              <w:rPr>
                <w:rFonts w:ascii="HendersonSansW00-BasicLight" w:hAnsi="HendersonSansW00-BasicLight"/>
                <w:b/>
                <w:bCs/>
                <w:sz w:val="20"/>
                <w:szCs w:val="20"/>
              </w:rPr>
              <w:t>Estado de resultados</w:t>
            </w:r>
          </w:p>
        </w:tc>
      </w:tr>
      <w:tr w:rsidR="00707A18" w:rsidRPr="003F00DA" w14:paraId="772F400C" w14:textId="77777777" w:rsidTr="00707A18">
        <w:trPr>
          <w:jc w:val="center"/>
        </w:trPr>
        <w:tc>
          <w:tcPr>
            <w:tcW w:w="4000" w:type="dxa"/>
            <w:tcMar>
              <w:top w:w="100" w:type="dxa"/>
              <w:left w:w="120" w:type="dxa"/>
              <w:bottom w:w="100" w:type="dxa"/>
              <w:right w:w="120" w:type="dxa"/>
            </w:tcMar>
            <w:vAlign w:val="center"/>
          </w:tcPr>
          <w:p w14:paraId="4CB0DD76"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Ingresos operativos anuales</w:t>
            </w:r>
          </w:p>
        </w:tc>
        <w:tc>
          <w:tcPr>
            <w:tcW w:w="2100" w:type="dxa"/>
            <w:tcMar>
              <w:top w:w="100" w:type="dxa"/>
              <w:left w:w="120" w:type="dxa"/>
              <w:bottom w:w="100" w:type="dxa"/>
              <w:right w:w="120" w:type="dxa"/>
            </w:tcMar>
            <w:vAlign w:val="center"/>
          </w:tcPr>
          <w:p w14:paraId="382CCF9C"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2A25620C" w14:textId="77777777" w:rsidR="00707A18" w:rsidRPr="003F00DA" w:rsidRDefault="00707A18" w:rsidP="00707A18">
            <w:pPr>
              <w:spacing w:line="260" w:lineRule="auto"/>
              <w:jc w:val="both"/>
              <w:rPr>
                <w:rFonts w:ascii="HendersonSansW00-BasicLight" w:hAnsi="HendersonSansW00-BasicLight"/>
              </w:rPr>
            </w:pPr>
          </w:p>
        </w:tc>
      </w:tr>
      <w:tr w:rsidR="00707A18" w:rsidRPr="003F00DA" w14:paraId="54D3C822" w14:textId="77777777" w:rsidTr="00707A18">
        <w:trPr>
          <w:jc w:val="center"/>
        </w:trPr>
        <w:tc>
          <w:tcPr>
            <w:tcW w:w="8200" w:type="dxa"/>
            <w:gridSpan w:val="3"/>
            <w:shd w:val="clear" w:color="auto" w:fill="D9E2F3"/>
            <w:tcMar>
              <w:top w:w="60" w:type="dxa"/>
              <w:left w:w="120" w:type="dxa"/>
              <w:bottom w:w="60" w:type="dxa"/>
              <w:right w:w="120" w:type="dxa"/>
            </w:tcMar>
          </w:tcPr>
          <w:p w14:paraId="6AB8F675" w14:textId="77777777" w:rsidR="00707A18" w:rsidRPr="003F00DA" w:rsidRDefault="00707A18" w:rsidP="00707A18">
            <w:pPr>
              <w:jc w:val="both"/>
              <w:rPr>
                <w:rFonts w:ascii="HendersonSansW00-BasicLight" w:hAnsi="HendersonSansW00-BasicLight"/>
              </w:rPr>
            </w:pPr>
            <w:r w:rsidRPr="003F00DA">
              <w:rPr>
                <w:rFonts w:ascii="HendersonSansW00-BasicLight" w:hAnsi="HendersonSansW00-BasicLight"/>
                <w:b/>
                <w:bCs/>
                <w:sz w:val="20"/>
                <w:szCs w:val="20"/>
              </w:rPr>
              <w:t>Razón calculada (para verificación del criterio e)</w:t>
            </w:r>
          </w:p>
        </w:tc>
      </w:tr>
      <w:tr w:rsidR="00707A18" w:rsidRPr="003F00DA" w14:paraId="3BEF3CEB" w14:textId="77777777" w:rsidTr="00707A18">
        <w:trPr>
          <w:jc w:val="center"/>
        </w:trPr>
        <w:tc>
          <w:tcPr>
            <w:tcW w:w="4000" w:type="dxa"/>
            <w:tcMar>
              <w:top w:w="100" w:type="dxa"/>
              <w:left w:w="120" w:type="dxa"/>
              <w:bottom w:w="100" w:type="dxa"/>
              <w:right w:w="120" w:type="dxa"/>
            </w:tcMar>
            <w:vAlign w:val="center"/>
          </w:tcPr>
          <w:p w14:paraId="5BB1B430" w14:textId="77777777" w:rsidR="00707A18" w:rsidRPr="003F00DA" w:rsidRDefault="00707A18" w:rsidP="00707A18">
            <w:pPr>
              <w:spacing w:line="260" w:lineRule="auto"/>
              <w:jc w:val="both"/>
              <w:rPr>
                <w:rFonts w:ascii="HendersonSansW00-BasicLight" w:hAnsi="HendersonSansW00-BasicLight"/>
              </w:rPr>
            </w:pPr>
            <w:r w:rsidRPr="003F00DA">
              <w:rPr>
                <w:rFonts w:ascii="HendersonSansW00-BasicLight" w:hAnsi="HendersonSansW00-BasicLight"/>
                <w:sz w:val="20"/>
                <w:szCs w:val="20"/>
              </w:rPr>
              <w:t>Razón corriente (Activo circulante / Pasivo circulante)</w:t>
            </w:r>
          </w:p>
        </w:tc>
        <w:tc>
          <w:tcPr>
            <w:tcW w:w="2100" w:type="dxa"/>
            <w:tcMar>
              <w:top w:w="100" w:type="dxa"/>
              <w:left w:w="120" w:type="dxa"/>
              <w:bottom w:w="100" w:type="dxa"/>
              <w:right w:w="120" w:type="dxa"/>
            </w:tcMar>
            <w:vAlign w:val="center"/>
          </w:tcPr>
          <w:p w14:paraId="4B5A8E99" w14:textId="77777777" w:rsidR="00707A18" w:rsidRPr="003F00DA" w:rsidRDefault="00707A18" w:rsidP="00707A18">
            <w:pPr>
              <w:spacing w:line="260" w:lineRule="auto"/>
              <w:jc w:val="both"/>
              <w:rPr>
                <w:rFonts w:ascii="HendersonSansW00-BasicLight" w:hAnsi="HendersonSansW00-BasicLight"/>
              </w:rPr>
            </w:pPr>
          </w:p>
        </w:tc>
        <w:tc>
          <w:tcPr>
            <w:tcW w:w="2100" w:type="dxa"/>
            <w:tcMar>
              <w:top w:w="100" w:type="dxa"/>
              <w:left w:w="120" w:type="dxa"/>
              <w:bottom w:w="100" w:type="dxa"/>
              <w:right w:w="120" w:type="dxa"/>
            </w:tcMar>
            <w:vAlign w:val="center"/>
          </w:tcPr>
          <w:p w14:paraId="6C1D5267" w14:textId="77777777" w:rsidR="00707A18" w:rsidRPr="003F00DA" w:rsidRDefault="00707A18" w:rsidP="00707A18">
            <w:pPr>
              <w:spacing w:line="260" w:lineRule="auto"/>
              <w:jc w:val="both"/>
              <w:rPr>
                <w:rFonts w:ascii="HendersonSansW00-BasicLight" w:hAnsi="HendersonSansW00-BasicLight"/>
              </w:rPr>
            </w:pPr>
          </w:p>
        </w:tc>
      </w:tr>
    </w:tbl>
    <w:p w14:paraId="6400D4D1" w14:textId="77777777" w:rsidR="00707A18" w:rsidRPr="003F00DA" w:rsidRDefault="00707A18" w:rsidP="00707A18">
      <w:pPr>
        <w:spacing w:line="300" w:lineRule="auto"/>
        <w:jc w:val="both"/>
        <w:rPr>
          <w:rFonts w:ascii="HendersonSansW00-BasicLight" w:hAnsi="HendersonSansW00-BasicLight"/>
        </w:rPr>
      </w:pPr>
      <w:r w:rsidRPr="003F00DA">
        <w:rPr>
          <w:rFonts w:ascii="HendersonSansW00-BasicLight" w:hAnsi="HendersonSansW00-BasicLight"/>
        </w:rPr>
        <w:t xml:space="preserve"> </w:t>
      </w:r>
    </w:p>
    <w:p w14:paraId="0EF140C7" w14:textId="77777777" w:rsidR="00707A18" w:rsidRPr="003F00DA" w:rsidRDefault="00707A18" w:rsidP="00707A18">
      <w:pPr>
        <w:pBdr>
          <w:bottom w:val="single" w:sz="8" w:space="4" w:color="1F3864"/>
        </w:pBdr>
        <w:spacing w:before="320"/>
        <w:jc w:val="both"/>
        <w:rPr>
          <w:rFonts w:ascii="HendersonSansW00-BasicLight" w:hAnsi="HendersonSansW00-BasicLight"/>
        </w:rPr>
      </w:pPr>
      <w:r w:rsidRPr="003F00DA">
        <w:rPr>
          <w:rFonts w:ascii="HendersonSansW00-BasicLight" w:hAnsi="HendersonSansW00-BasicLight"/>
          <w:b/>
          <w:bCs/>
          <w:sz w:val="24"/>
          <w:szCs w:val="24"/>
        </w:rPr>
        <w:t>7. ACLARACIONES Y DOCUMENTACIÓN ADICIONAL</w:t>
      </w:r>
    </w:p>
    <w:p w14:paraId="584EC684"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En caso de duda o cuando se requiera alguna aclaración respecto a la información presentada, la ADMINISTRACIÓN estará facultada para solicitar por escrito al OFERENTE cualquier información o documento adicional pertinente.</w:t>
      </w:r>
    </w:p>
    <w:p w14:paraId="6122A6F1" w14:textId="77777777" w:rsidR="00707A18" w:rsidRPr="003F00DA" w:rsidRDefault="00707A18" w:rsidP="00707A18">
      <w:pPr>
        <w:spacing w:after="140" w:line="300" w:lineRule="auto"/>
        <w:jc w:val="both"/>
        <w:rPr>
          <w:rFonts w:ascii="HendersonSansW00-BasicLight" w:hAnsi="HendersonSansW00-BasicLight"/>
        </w:rPr>
      </w:pPr>
      <w:r w:rsidRPr="003F00DA">
        <w:rPr>
          <w:rFonts w:ascii="HendersonSansW00-BasicLight" w:hAnsi="HendersonSansW00-BasicLight"/>
        </w:rPr>
        <w:t>La negativa, falta de respuesta o respuesta fuera del plazo otorgado por parte del OFERENTE o su representante facultará a la ADMINISTRACIÓN para resolver con la información que conste en el expediente. Cuando la información resulte insuficiente para el análisis, la oferta será considerada inadmisible. Cuando el OFERENTE participe asociado a otros (consorcio), el incumplimiento afectará al consorcio en su conjunto.</w:t>
      </w:r>
    </w:p>
    <w:p w14:paraId="7B3E1536" w14:textId="77777777" w:rsidR="00707A18" w:rsidRPr="00311A63" w:rsidRDefault="00707A18" w:rsidP="00707A18">
      <w:pPr>
        <w:spacing w:after="0" w:line="240" w:lineRule="auto"/>
        <w:jc w:val="both"/>
        <w:rPr>
          <w:rFonts w:ascii="HendersonSansW00-BasicLight" w:eastAsia="Garamond" w:hAnsi="HendersonSansW00-BasicLight" w:cs="Garamond"/>
          <w:b/>
        </w:rPr>
      </w:pPr>
    </w:p>
    <w:p w14:paraId="2D703F92"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7A2CCD72" w14:textId="39C5CB40" w:rsidR="00C633DC" w:rsidRDefault="00311A63" w:rsidP="00707A18">
      <w:pPr>
        <w:spacing w:line="240" w:lineRule="auto"/>
        <w:jc w:val="center"/>
        <w:rPr>
          <w:rFonts w:ascii="HendersonSansW00-BasicLight" w:eastAsia="Garamond" w:hAnsi="HendersonSansW00-BasicLight" w:cs="Garamond"/>
          <w:b/>
        </w:rPr>
      </w:pPr>
      <w:r>
        <w:rPr>
          <w:rFonts w:ascii="HendersonSansW00-BasicLight" w:eastAsia="Garamond" w:hAnsi="HendersonSansW00-BasicLight" w:cs="Garamond"/>
          <w:b/>
          <w:u w:val="single"/>
        </w:rPr>
        <w:br w:type="page"/>
      </w:r>
    </w:p>
    <w:p w14:paraId="06E558E8" w14:textId="08929362" w:rsidR="00BD55DE" w:rsidRPr="00C85C82" w:rsidRDefault="00A33DDC" w:rsidP="00533DC0">
      <w:pPr>
        <w:keepNext/>
        <w:keepLines/>
        <w:spacing w:before="480"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lastRenderedPageBreak/>
        <w:t>ANEXO No. 2</w:t>
      </w:r>
    </w:p>
    <w:p w14:paraId="27906D70" w14:textId="77777777" w:rsidR="00BD55DE" w:rsidRPr="00C85C82" w:rsidRDefault="00A33DDC" w:rsidP="00533DC0">
      <w:pPr>
        <w:spacing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t>FORMULARIOS Y FORMATOS</w:t>
      </w:r>
    </w:p>
    <w:p w14:paraId="6AC31B28" w14:textId="77777777" w:rsidR="00BD55DE" w:rsidRPr="00C85C82" w:rsidRDefault="00A33DDC" w:rsidP="00533DC0">
      <w:pPr>
        <w:spacing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t>FORMULARIO FP-20: INFORMACIÓN BÁSICA DE LA EMPRESA CONSULTORA</w:t>
      </w:r>
    </w:p>
    <w:p w14:paraId="75403080" w14:textId="77777777" w:rsidR="00EE63F6" w:rsidRDefault="00EE63F6" w:rsidP="00533DC0">
      <w:pPr>
        <w:spacing w:after="0" w:line="240" w:lineRule="auto"/>
        <w:jc w:val="both"/>
        <w:rPr>
          <w:rFonts w:ascii="HendersonSansW00-BasicLight" w:eastAsia="Garamond" w:hAnsi="HendersonSansW00-BasicLight" w:cs="Garamond"/>
        </w:rPr>
      </w:pPr>
    </w:p>
    <w:p w14:paraId="7C96D2C2" w14:textId="0F33D6EF" w:rsidR="00EE63F6" w:rsidRDefault="00EE63F6" w:rsidP="00533DC0">
      <w:pPr>
        <w:spacing w:after="0" w:line="240" w:lineRule="auto"/>
        <w:jc w:val="both"/>
        <w:rPr>
          <w:rFonts w:ascii="HendersonSansW00-BasicLight" w:eastAsia="Garamond" w:hAnsi="HendersonSansW00-BasicLight" w:cs="Garamond"/>
        </w:rPr>
      </w:pPr>
      <w:r w:rsidRPr="00EE63F6">
        <w:rPr>
          <w:noProof/>
        </w:rPr>
        <w:drawing>
          <wp:inline distT="0" distB="0" distL="0" distR="0" wp14:anchorId="59870610" wp14:editId="367A5BA1">
            <wp:extent cx="5687695" cy="5774871"/>
            <wp:effectExtent l="0" t="0" r="8255" b="0"/>
            <wp:docPr id="132068973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0473" cy="5787844"/>
                    </a:xfrm>
                    <a:prstGeom prst="rect">
                      <a:avLst/>
                    </a:prstGeom>
                    <a:noFill/>
                    <a:ln>
                      <a:noFill/>
                    </a:ln>
                  </pic:spPr>
                </pic:pic>
              </a:graphicData>
            </a:graphic>
          </wp:inline>
        </w:drawing>
      </w:r>
    </w:p>
    <w:p w14:paraId="1222EA71" w14:textId="77777777" w:rsidR="00EE63F6" w:rsidRDefault="00EE63F6" w:rsidP="00533DC0">
      <w:pPr>
        <w:spacing w:after="0" w:line="240" w:lineRule="auto"/>
        <w:jc w:val="both"/>
        <w:rPr>
          <w:rFonts w:ascii="HendersonSansW00-BasicLight" w:eastAsia="Garamond" w:hAnsi="HendersonSansW00-BasicLight" w:cs="Garamond"/>
        </w:rPr>
      </w:pPr>
    </w:p>
    <w:p w14:paraId="505F5EFB" w14:textId="666D82FA" w:rsidR="00BD55DE" w:rsidRPr="00C85C82" w:rsidRDefault="00A33DDC" w:rsidP="00533DC0">
      <w:pPr>
        <w:spacing w:after="0" w:line="240" w:lineRule="auto"/>
        <w:jc w:val="both"/>
        <w:rPr>
          <w:rFonts w:ascii="HendersonSansW00-BasicLight" w:eastAsia="Garamond" w:hAnsi="HendersonSansW00-BasicLight" w:cs="Garamond"/>
        </w:rPr>
      </w:pPr>
      <w:r w:rsidRPr="00C85C82">
        <w:rPr>
          <w:rFonts w:ascii="HendersonSansW00-BasicLight" w:eastAsia="Garamond" w:hAnsi="HendersonSansW00-BasicLight" w:cs="Garamond"/>
        </w:rPr>
        <w:t xml:space="preserve">Nota: Pueden ampliar la lista, siempre que estén relacionadas con el tema de estudio. </w:t>
      </w:r>
    </w:p>
    <w:p w14:paraId="75CBA3C3" w14:textId="77777777" w:rsidR="00BD55DE" w:rsidRPr="00C85C82" w:rsidRDefault="00BD55DE" w:rsidP="00533DC0">
      <w:pPr>
        <w:spacing w:after="0" w:line="240" w:lineRule="auto"/>
        <w:jc w:val="both"/>
        <w:rPr>
          <w:rFonts w:ascii="HendersonSansW00-BasicLight" w:eastAsia="Garamond" w:hAnsi="HendersonSansW00-BasicLight" w:cs="Garamond"/>
        </w:rPr>
      </w:pPr>
    </w:p>
    <w:p w14:paraId="20474092" w14:textId="77777777" w:rsidR="00D13CA1" w:rsidRDefault="00D13CA1" w:rsidP="00533DC0">
      <w:pPr>
        <w:spacing w:line="240" w:lineRule="auto"/>
        <w:rPr>
          <w:rFonts w:ascii="HendersonSansW00-BasicLight" w:eastAsia="Garamond" w:hAnsi="HendersonSansW00-BasicLight" w:cs="Garamond"/>
          <w:b/>
        </w:rPr>
      </w:pPr>
      <w:r>
        <w:rPr>
          <w:rFonts w:ascii="HendersonSansW00-BasicLight" w:eastAsia="Garamond" w:hAnsi="HendersonSansW00-BasicLight" w:cs="Garamond"/>
          <w:b/>
        </w:rPr>
        <w:br w:type="page"/>
      </w:r>
    </w:p>
    <w:p w14:paraId="288E51A6" w14:textId="23EAB445" w:rsidR="00D85772" w:rsidRPr="00C85C82" w:rsidRDefault="00D85772" w:rsidP="00533DC0">
      <w:pPr>
        <w:spacing w:after="0" w:line="240" w:lineRule="auto"/>
        <w:jc w:val="center"/>
        <w:rPr>
          <w:rFonts w:ascii="HendersonSansW00-BasicLight" w:eastAsia="Garamond" w:hAnsi="HendersonSansW00-BasicLight" w:cs="Garamond"/>
          <w:b/>
        </w:rPr>
      </w:pPr>
      <w:bookmarkStart w:id="16" w:name="_heading=h.sh47sljmbrij" w:colFirst="0" w:colLast="0"/>
      <w:bookmarkEnd w:id="16"/>
      <w:r>
        <w:rPr>
          <w:rFonts w:ascii="HendersonSansW00-BasicLight" w:hAnsi="HendersonSansW00-BasicLight" w:cs="Arial"/>
          <w:b/>
        </w:rPr>
        <w:lastRenderedPageBreak/>
        <w:t>T</w:t>
      </w:r>
      <w:r w:rsidRPr="008F5FC5">
        <w:rPr>
          <w:rFonts w:ascii="HendersonSansW00-BasicLight" w:hAnsi="HendersonSansW00-BasicLight" w:cs="Arial"/>
          <w:b/>
        </w:rPr>
        <w:t>ABLA 1</w:t>
      </w:r>
      <w:r w:rsidR="005A39CD" w:rsidRPr="008F5FC5">
        <w:rPr>
          <w:rFonts w:ascii="HendersonSansW00-BasicLight" w:hAnsi="HendersonSansW00-BasicLight" w:cs="Arial"/>
          <w:b/>
        </w:rPr>
        <w:t>a</w:t>
      </w:r>
      <w:r w:rsidRPr="008F5FC5">
        <w:rPr>
          <w:rFonts w:ascii="HendersonSansW00-BasicLight" w:hAnsi="HendersonSansW00-BasicLight" w:cs="Arial"/>
          <w:b/>
        </w:rPr>
        <w:t xml:space="preserve"> </w:t>
      </w:r>
      <w:r w:rsidRPr="008F5FC5">
        <w:rPr>
          <w:rFonts w:ascii="HendersonSansW00-BasicLight" w:eastAsia="Garamond" w:hAnsi="HendersonSansW00-BasicLight" w:cs="Garamond"/>
          <w:b/>
        </w:rPr>
        <w:t>FORMATO</w:t>
      </w:r>
    </w:p>
    <w:p w14:paraId="3034195F" w14:textId="70044920" w:rsidR="00BD55DE" w:rsidRPr="00C85C82" w:rsidRDefault="00A33DDC" w:rsidP="00533DC0">
      <w:pPr>
        <w:keepNext/>
        <w:keepLines/>
        <w:spacing w:after="0" w:line="240" w:lineRule="auto"/>
        <w:ind w:left="-566" w:right="-646"/>
        <w:jc w:val="center"/>
        <w:rPr>
          <w:rFonts w:ascii="HendersonSansW00-BasicLight" w:eastAsia="Garamond" w:hAnsi="HendersonSansW00-BasicLight" w:cs="Garamond"/>
          <w:b/>
        </w:rPr>
      </w:pPr>
      <w:r w:rsidRPr="00C85C82">
        <w:rPr>
          <w:rFonts w:ascii="HendersonSansW00-BasicLight" w:eastAsia="Garamond" w:hAnsi="HendersonSansW00-BasicLight" w:cs="Garamond"/>
          <w:b/>
        </w:rPr>
        <w:t>FORMATO D</w:t>
      </w:r>
      <w:r w:rsidR="00725813" w:rsidRPr="00C85C82">
        <w:rPr>
          <w:rFonts w:ascii="HendersonSansW00-BasicLight" w:eastAsia="Garamond" w:hAnsi="HendersonSansW00-BasicLight" w:cs="Garamond"/>
          <w:b/>
        </w:rPr>
        <w:t xml:space="preserve">E CERTIFICACIÓN </w:t>
      </w:r>
      <w:r w:rsidR="007723AD" w:rsidRPr="00C85C82">
        <w:rPr>
          <w:rFonts w:ascii="HendersonSansW00-BasicLight" w:eastAsia="Garamond" w:hAnsi="HendersonSansW00-BasicLight" w:cs="Garamond"/>
          <w:b/>
        </w:rPr>
        <w:t>DE EXPERIENCIA</w:t>
      </w:r>
    </w:p>
    <w:p w14:paraId="02379E19" w14:textId="77777777" w:rsidR="007723AD" w:rsidRPr="00C85C82" w:rsidRDefault="007723AD" w:rsidP="00533DC0">
      <w:pPr>
        <w:spacing w:line="240" w:lineRule="auto"/>
        <w:rPr>
          <w:rFonts w:ascii="HendersonSansW00-BasicLight" w:hAnsi="HendersonSansW00-BasicLight" w:cs="Arial"/>
        </w:rPr>
      </w:pPr>
      <w:bookmarkStart w:id="17" w:name="_heading=h.5lv8fykvkpg8" w:colFirst="0" w:colLast="0"/>
      <w:bookmarkStart w:id="18" w:name="_heading=h.7pnmwfsjq8qh" w:colFirst="0" w:colLast="0"/>
      <w:bookmarkEnd w:id="17"/>
      <w:bookmarkEnd w:id="18"/>
    </w:p>
    <w:p w14:paraId="045F763A" w14:textId="51817F01" w:rsidR="00725813" w:rsidRPr="00C85C82" w:rsidRDefault="00725813" w:rsidP="00533DC0">
      <w:pPr>
        <w:spacing w:line="240" w:lineRule="auto"/>
        <w:rPr>
          <w:rFonts w:ascii="HendersonSansW00-BasicLight" w:hAnsi="HendersonSansW00-BasicLight" w:cs="Arial"/>
        </w:rPr>
      </w:pPr>
      <w:r w:rsidRPr="00C85C82">
        <w:rPr>
          <w:rFonts w:ascii="HendersonSansW00-BasicLight" w:hAnsi="HendersonSansW00-BasicLight" w:cs="Arial"/>
        </w:rPr>
        <w:t xml:space="preserve">Fecha </w:t>
      </w:r>
      <w:r w:rsidR="007723AD" w:rsidRPr="00C85C82">
        <w:rPr>
          <w:rFonts w:ascii="HendersonSansW00-BasicLight" w:hAnsi="HendersonSansW00-BasicLight" w:cs="Arial"/>
        </w:rPr>
        <w:t>XXXX</w:t>
      </w:r>
    </w:p>
    <w:p w14:paraId="5D4742FF" w14:textId="77777777" w:rsidR="00725813" w:rsidRPr="00C85C82" w:rsidRDefault="00725813" w:rsidP="00533DC0">
      <w:pPr>
        <w:spacing w:line="240" w:lineRule="auto"/>
        <w:rPr>
          <w:rFonts w:ascii="HendersonSansW00-BasicLight" w:hAnsi="HendersonSansW00-BasicLight" w:cs="Arial"/>
        </w:rPr>
      </w:pPr>
      <w:r w:rsidRPr="00C85C82">
        <w:rPr>
          <w:rFonts w:ascii="HendersonSansW00-BasicLight" w:hAnsi="HendersonSansW00-BasicLight" w:cs="Arial"/>
        </w:rPr>
        <w:t>Estimados señores:</w:t>
      </w:r>
    </w:p>
    <w:p w14:paraId="2703A424" w14:textId="20D6C019" w:rsidR="00725813" w:rsidRPr="00C85C82" w:rsidRDefault="00725813" w:rsidP="00533DC0">
      <w:pPr>
        <w:pStyle w:val="WW-Predeterminado"/>
        <w:jc w:val="both"/>
        <w:rPr>
          <w:rFonts w:ascii="HendersonSansW00-BasicLight" w:hAnsi="HendersonSansW00-BasicLight" w:cs="Arial"/>
          <w:sz w:val="22"/>
          <w:szCs w:val="22"/>
        </w:rPr>
      </w:pPr>
      <w:r w:rsidRPr="00C85C82">
        <w:rPr>
          <w:rFonts w:ascii="HendersonSansW00-BasicLight" w:hAnsi="HendersonSansW00-BasicLight" w:cs="Arial"/>
          <w:sz w:val="22"/>
          <w:szCs w:val="22"/>
        </w:rPr>
        <w:t>El (Institución</w:t>
      </w:r>
      <w:r w:rsidR="00CA6C15">
        <w:rPr>
          <w:rFonts w:ascii="HendersonSansW00-BasicLight" w:hAnsi="HendersonSansW00-BasicLight" w:cs="Arial"/>
          <w:sz w:val="22"/>
          <w:szCs w:val="22"/>
        </w:rPr>
        <w:t>/E</w:t>
      </w:r>
      <w:r w:rsidR="000C6CC8" w:rsidRPr="00C85C82">
        <w:rPr>
          <w:rFonts w:ascii="HendersonSansW00-BasicLight" w:hAnsi="HendersonSansW00-BasicLight" w:cs="Arial"/>
          <w:sz w:val="22"/>
          <w:szCs w:val="22"/>
        </w:rPr>
        <w:t>mpresa</w:t>
      </w:r>
      <w:r w:rsidRPr="00C85C82">
        <w:rPr>
          <w:rFonts w:ascii="HendersonSansW00-BasicLight" w:hAnsi="HendersonSansW00-BasicLight" w:cs="Arial"/>
          <w:sz w:val="22"/>
          <w:szCs w:val="22"/>
        </w:rPr>
        <w:t>),</w:t>
      </w:r>
      <w:r w:rsidRPr="00C85C82">
        <w:rPr>
          <w:rFonts w:ascii="HendersonSansW00-BasicLight" w:hAnsi="HendersonSansW00-BasicLight" w:cs="Arial"/>
          <w:color w:val="FF0000"/>
          <w:sz w:val="22"/>
          <w:szCs w:val="22"/>
          <w:lang w:val="es-CR"/>
        </w:rPr>
        <w:t xml:space="preserve"> </w:t>
      </w:r>
      <w:r w:rsidRPr="00C85C82">
        <w:rPr>
          <w:rFonts w:ascii="HendersonSansW00-BasicLight" w:hAnsi="HendersonSansW00-BasicLight" w:cs="Arial"/>
          <w:sz w:val="22"/>
          <w:szCs w:val="22"/>
        </w:rPr>
        <w:t>con número de cédula jurídica xxxx, con domi</w:t>
      </w:r>
      <w:r w:rsidR="00CA6C15">
        <w:rPr>
          <w:rFonts w:ascii="HendersonSansW00-BasicLight" w:hAnsi="HendersonSansW00-BasicLight" w:cs="Arial"/>
          <w:sz w:val="22"/>
          <w:szCs w:val="22"/>
        </w:rPr>
        <w:t>cilio xxxxx, a solicitud de la E</w:t>
      </w:r>
      <w:r w:rsidRPr="00C85C82">
        <w:rPr>
          <w:rFonts w:ascii="HendersonSansW00-BasicLight" w:hAnsi="HendersonSansW00-BasicLight" w:cs="Arial"/>
          <w:sz w:val="22"/>
          <w:szCs w:val="22"/>
        </w:rPr>
        <w:t>mpresa xxxxx, cédula jurídica No.</w:t>
      </w:r>
      <w:r w:rsidRPr="00C85C82">
        <w:rPr>
          <w:rFonts w:ascii="HendersonSansW00-BasicLight" w:hAnsi="HendersonSansW00-BasicLight"/>
          <w:sz w:val="22"/>
          <w:szCs w:val="22"/>
        </w:rPr>
        <w:t xml:space="preserve"> </w:t>
      </w:r>
      <w:r w:rsidRPr="00C85C82">
        <w:rPr>
          <w:rFonts w:ascii="HendersonSansW00-BasicLight" w:hAnsi="HendersonSansW00-BasicLight" w:cs="Arial"/>
          <w:sz w:val="22"/>
          <w:szCs w:val="22"/>
        </w:rPr>
        <w:t>xxxx, con domicilio</w:t>
      </w:r>
      <w:r w:rsidR="00CA6C15">
        <w:rPr>
          <w:rFonts w:ascii="HendersonSansW00-BasicLight" w:hAnsi="HendersonSansW00-BasicLight" w:cs="Arial"/>
          <w:sz w:val="22"/>
          <w:szCs w:val="22"/>
        </w:rPr>
        <w:t xml:space="preserve"> en xxxxx, hace constar que la E</w:t>
      </w:r>
      <w:r w:rsidRPr="00C85C82">
        <w:rPr>
          <w:rFonts w:ascii="HendersonSansW00-BasicLight" w:hAnsi="HendersonSansW00-BasicLight" w:cs="Arial"/>
          <w:sz w:val="22"/>
          <w:szCs w:val="22"/>
        </w:rPr>
        <w:t>mpresa xxxxx prestó los servicios a (Institución</w:t>
      </w:r>
      <w:r w:rsidR="00CA6C15">
        <w:rPr>
          <w:rFonts w:ascii="HendersonSansW00-BasicLight" w:hAnsi="HendersonSansW00-BasicLight" w:cs="Arial"/>
          <w:sz w:val="22"/>
          <w:szCs w:val="22"/>
        </w:rPr>
        <w:t>/E</w:t>
      </w:r>
      <w:r w:rsidR="000C6CC8" w:rsidRPr="00C85C82">
        <w:rPr>
          <w:rFonts w:ascii="HendersonSansW00-BasicLight" w:hAnsi="HendersonSansW00-BasicLight" w:cs="Arial"/>
          <w:sz w:val="22"/>
          <w:szCs w:val="22"/>
        </w:rPr>
        <w:t>mpresa</w:t>
      </w:r>
      <w:r w:rsidRPr="00C85C82">
        <w:rPr>
          <w:rFonts w:ascii="HendersonSansW00-BasicLight" w:hAnsi="HendersonSansW00-BasicLight" w:cs="Arial"/>
          <w:sz w:val="22"/>
          <w:szCs w:val="22"/>
        </w:rPr>
        <w:t>), a través de la contratación No. xxxx</w:t>
      </w:r>
      <w:r w:rsidR="000C6CC8" w:rsidRPr="00C85C82">
        <w:rPr>
          <w:rFonts w:ascii="HendersonSansW00-BasicLight" w:hAnsi="HendersonSansW00-BasicLight" w:cs="Arial"/>
          <w:sz w:val="22"/>
          <w:szCs w:val="22"/>
        </w:rPr>
        <w:t xml:space="preserve"> (</w:t>
      </w:r>
      <w:r w:rsidR="00960019" w:rsidRPr="00C85C82">
        <w:rPr>
          <w:rFonts w:ascii="HendersonSansW00-BasicLight" w:hAnsi="HendersonSansW00-BasicLight" w:cs="Arial"/>
          <w:sz w:val="22"/>
          <w:szCs w:val="22"/>
        </w:rPr>
        <w:t xml:space="preserve">aplica para el </w:t>
      </w:r>
      <w:r w:rsidR="000C6CC8" w:rsidRPr="00C85C82">
        <w:rPr>
          <w:rFonts w:ascii="HendersonSansW00-BasicLight" w:hAnsi="HendersonSansW00-BasicLight" w:cs="Arial"/>
          <w:sz w:val="22"/>
          <w:szCs w:val="22"/>
        </w:rPr>
        <w:t>Sector Público)</w:t>
      </w:r>
      <w:r w:rsidRPr="00C85C82">
        <w:rPr>
          <w:rFonts w:ascii="HendersonSansW00-BasicLight" w:hAnsi="HendersonSansW00-BasicLight" w:cs="Arial"/>
          <w:sz w:val="22"/>
          <w:szCs w:val="22"/>
        </w:rPr>
        <w:t>, servicios que se detallan:</w:t>
      </w:r>
    </w:p>
    <w:p w14:paraId="44B298B8" w14:textId="77777777" w:rsidR="00725813" w:rsidRPr="00C85C82" w:rsidRDefault="00725813" w:rsidP="00533DC0">
      <w:pPr>
        <w:pStyle w:val="WW-Predeterminado"/>
        <w:jc w:val="both"/>
        <w:rPr>
          <w:rFonts w:ascii="HendersonSansW00-BasicLight" w:hAnsi="HendersonSansW00-BasicLight" w:cs="Arial"/>
          <w:sz w:val="22"/>
          <w:szCs w:val="22"/>
        </w:rPr>
      </w:pPr>
    </w:p>
    <w:p w14:paraId="72AFE46D" w14:textId="34EF9CA6" w:rsidR="00725813" w:rsidRPr="00A87592" w:rsidRDefault="00546459" w:rsidP="00533DC0">
      <w:pPr>
        <w:pStyle w:val="WW-Predeterminado"/>
        <w:jc w:val="both"/>
        <w:rPr>
          <w:rFonts w:ascii="HendersonSansW00-BasicLight" w:hAnsi="HendersonSansW00-BasicLight" w:cs="Arial"/>
          <w:sz w:val="22"/>
          <w:szCs w:val="22"/>
        </w:rPr>
      </w:pPr>
      <w:r w:rsidRPr="00A87592">
        <w:rPr>
          <w:rFonts w:ascii="HendersonSansW00-BasicLight" w:hAnsi="HendersonSansW00-BasicLight" w:cs="Arial"/>
          <w:sz w:val="22"/>
          <w:szCs w:val="22"/>
        </w:rPr>
        <w:t>(</w:t>
      </w:r>
      <w:r w:rsidR="00CA6C15">
        <w:rPr>
          <w:rFonts w:ascii="HendersonSansW00-BasicLight" w:hAnsi="HendersonSansW00-BasicLight" w:cs="Arial"/>
          <w:sz w:val="22"/>
          <w:szCs w:val="22"/>
        </w:rPr>
        <w:t>N</w:t>
      </w:r>
      <w:r w:rsidR="00180A13" w:rsidRPr="00A87592">
        <w:rPr>
          <w:rFonts w:ascii="HendersonSansW00-BasicLight" w:hAnsi="HendersonSansW00-BasicLight" w:cs="Arial"/>
          <w:sz w:val="22"/>
          <w:szCs w:val="22"/>
        </w:rPr>
        <w:t>ombre del estudio o servicio realizado</w:t>
      </w:r>
      <w:r w:rsidR="00CA6C15">
        <w:rPr>
          <w:rFonts w:ascii="HendersonSansW00-BasicLight" w:hAnsi="HendersonSansW00-BasicLight" w:cs="Arial"/>
          <w:sz w:val="22"/>
          <w:szCs w:val="22"/>
        </w:rPr>
        <w:t xml:space="preserve"> t</w:t>
      </w:r>
      <w:r w:rsidR="00A87592" w:rsidRPr="00A87592">
        <w:rPr>
          <w:rFonts w:ascii="HendersonSansW00-BasicLight" w:eastAsia="Garamond" w:hAnsi="HendersonSansW00-BasicLight" w:cs="Garamond"/>
          <w:sz w:val="22"/>
          <w:szCs w:val="22"/>
        </w:rPr>
        <w:t>al y como aparece en el documento o Informe final elaborado)</w:t>
      </w:r>
      <w:r w:rsidR="00180A13" w:rsidRPr="00A87592">
        <w:rPr>
          <w:rFonts w:ascii="HendersonSansW00-BasicLight" w:hAnsi="HendersonSansW00-BasicLight" w:cs="Arial"/>
          <w:sz w:val="22"/>
          <w:szCs w:val="22"/>
        </w:rPr>
        <w:t>, descripción general del servicio realizado</w:t>
      </w:r>
      <w:r w:rsidR="00A87592" w:rsidRPr="00A87592">
        <w:rPr>
          <w:rFonts w:ascii="HendersonSansW00-BasicLight" w:hAnsi="HendersonSansW00-BasicLight" w:cs="Arial"/>
          <w:sz w:val="22"/>
          <w:szCs w:val="22"/>
        </w:rPr>
        <w:t xml:space="preserve"> (</w:t>
      </w:r>
      <w:r w:rsidR="00CA6C15">
        <w:rPr>
          <w:rFonts w:ascii="HendersonSansW00-BasicLight" w:eastAsia="Garamond" w:hAnsi="HendersonSansW00-BasicLight" w:cs="Garamond"/>
          <w:sz w:val="22"/>
          <w:szCs w:val="22"/>
        </w:rPr>
        <w:t>d</w:t>
      </w:r>
      <w:r w:rsidR="00A87592" w:rsidRPr="00A87592">
        <w:rPr>
          <w:rFonts w:ascii="HendersonSansW00-BasicLight" w:eastAsia="Garamond" w:hAnsi="HendersonSansW00-BasicLight" w:cs="Garamond"/>
          <w:sz w:val="22"/>
          <w:szCs w:val="22"/>
        </w:rPr>
        <w:t>etallar los temas que abarcó el estudio)</w:t>
      </w:r>
      <w:r w:rsidR="00180A13" w:rsidRPr="00A87592">
        <w:rPr>
          <w:rFonts w:ascii="HendersonSansW00-BasicLight" w:hAnsi="HendersonSansW00-BasicLight" w:cs="Arial"/>
          <w:sz w:val="22"/>
          <w:szCs w:val="22"/>
        </w:rPr>
        <w:t xml:space="preserve">, alcance (nacional, </w:t>
      </w:r>
      <w:r w:rsidR="00CA6C15">
        <w:rPr>
          <w:rFonts w:ascii="HendersonSansW00-BasicLight" w:hAnsi="HendersonSansW00-BasicLight" w:cs="Arial"/>
          <w:sz w:val="22"/>
          <w:szCs w:val="22"/>
        </w:rPr>
        <w:t>i</w:t>
      </w:r>
      <w:r w:rsidRPr="00A87592">
        <w:rPr>
          <w:rFonts w:ascii="HendersonSansW00-BasicLight" w:hAnsi="HendersonSansW00-BasicLight" w:cs="Arial"/>
          <w:sz w:val="22"/>
          <w:szCs w:val="22"/>
        </w:rPr>
        <w:t xml:space="preserve">nstitucional, </w:t>
      </w:r>
      <w:r w:rsidR="00180A13" w:rsidRPr="00A87592">
        <w:rPr>
          <w:rFonts w:ascii="HendersonSansW00-BasicLight" w:hAnsi="HendersonSansW00-BasicLight" w:cs="Arial"/>
          <w:sz w:val="22"/>
          <w:szCs w:val="22"/>
        </w:rPr>
        <w:t xml:space="preserve">regional, otros), unidad usuaria dentro de la </w:t>
      </w:r>
      <w:r w:rsidR="00CA6C15">
        <w:rPr>
          <w:rFonts w:ascii="HendersonSansW00-BasicLight" w:hAnsi="HendersonSansW00-BasicLight" w:cs="Arial"/>
          <w:sz w:val="22"/>
          <w:szCs w:val="22"/>
        </w:rPr>
        <w:t>i</w:t>
      </w:r>
      <w:r w:rsidR="00180A13" w:rsidRPr="00A87592">
        <w:rPr>
          <w:rFonts w:ascii="HendersonSansW00-BasicLight" w:hAnsi="HendersonSansW00-BasicLight" w:cs="Arial"/>
          <w:sz w:val="22"/>
          <w:szCs w:val="22"/>
        </w:rPr>
        <w:t>nstitución</w:t>
      </w:r>
      <w:r w:rsidR="000C6CC8" w:rsidRPr="00A87592">
        <w:rPr>
          <w:rFonts w:ascii="HendersonSansW00-BasicLight" w:hAnsi="HendersonSansW00-BasicLight" w:cs="Arial"/>
          <w:sz w:val="22"/>
          <w:szCs w:val="22"/>
        </w:rPr>
        <w:t>/empresa</w:t>
      </w:r>
      <w:r w:rsidR="00180A13" w:rsidRPr="00A87592">
        <w:rPr>
          <w:rFonts w:ascii="HendersonSansW00-BasicLight" w:hAnsi="HendersonSansW00-BasicLight" w:cs="Arial"/>
          <w:sz w:val="22"/>
          <w:szCs w:val="22"/>
        </w:rPr>
        <w:t>, fecha y duración de la prestación del servicio (mes y año)</w:t>
      </w:r>
      <w:r w:rsidRPr="00A87592">
        <w:rPr>
          <w:rFonts w:ascii="HendersonSansW00-BasicLight" w:hAnsi="HendersonSansW00-BasicLight" w:cs="Arial"/>
          <w:sz w:val="22"/>
          <w:szCs w:val="22"/>
        </w:rPr>
        <w:t>)</w:t>
      </w:r>
    </w:p>
    <w:p w14:paraId="6D7CD41A" w14:textId="77777777" w:rsidR="00180A13" w:rsidRPr="00C85C82" w:rsidRDefault="00180A13" w:rsidP="00533DC0">
      <w:pPr>
        <w:pStyle w:val="WW-Predeterminado"/>
        <w:jc w:val="center"/>
        <w:rPr>
          <w:rFonts w:ascii="HendersonSansW00-BasicLight" w:hAnsi="HendersonSansW00-BasicLight" w:cs="Arial"/>
          <w:sz w:val="22"/>
          <w:szCs w:val="22"/>
        </w:rPr>
      </w:pPr>
    </w:p>
    <w:p w14:paraId="60DB2142" w14:textId="0632D213" w:rsidR="00725813" w:rsidRPr="00C85C82" w:rsidRDefault="00725813" w:rsidP="00533DC0">
      <w:pPr>
        <w:pStyle w:val="WW-Predeterminado"/>
        <w:jc w:val="both"/>
        <w:rPr>
          <w:rFonts w:ascii="HendersonSansW00-BasicLight" w:hAnsi="HendersonSansW00-BasicLight" w:cs="Arial"/>
          <w:sz w:val="22"/>
          <w:szCs w:val="22"/>
          <w:lang w:val="es-CR"/>
        </w:rPr>
      </w:pPr>
      <w:r w:rsidRPr="00C85C82">
        <w:rPr>
          <w:rFonts w:ascii="HendersonSansW00-BasicLight" w:hAnsi="HendersonSansW00-BasicLight" w:cs="Arial"/>
          <w:sz w:val="22"/>
          <w:szCs w:val="22"/>
          <w:lang w:val="es-CR"/>
        </w:rPr>
        <w:t xml:space="preserve">La calificación cualitativa del </w:t>
      </w:r>
      <w:r w:rsidR="00180A13" w:rsidRPr="00C85C82">
        <w:rPr>
          <w:rFonts w:ascii="HendersonSansW00-BasicLight" w:hAnsi="HendersonSansW00-BasicLight" w:cs="Arial"/>
          <w:sz w:val="22"/>
          <w:szCs w:val="22"/>
          <w:lang w:val="es-CR"/>
        </w:rPr>
        <w:t>estudio</w:t>
      </w:r>
      <w:r w:rsidRPr="00C85C82">
        <w:rPr>
          <w:rFonts w:ascii="HendersonSansW00-BasicLight" w:hAnsi="HendersonSansW00-BasicLight" w:cs="Arial"/>
          <w:sz w:val="22"/>
          <w:szCs w:val="22"/>
          <w:lang w:val="es-CR"/>
        </w:rPr>
        <w:t xml:space="preserve"> fue de </w:t>
      </w:r>
      <w:r w:rsidR="001963CD" w:rsidRPr="00C85C82">
        <w:rPr>
          <w:rFonts w:ascii="HendersonSansW00-BasicLight" w:hAnsi="HendersonSansW00-BasicLight" w:cs="Arial"/>
          <w:sz w:val="22"/>
          <w:szCs w:val="22"/>
          <w:lang w:val="es-CR"/>
        </w:rPr>
        <w:t xml:space="preserve">xxxx (excelente, </w:t>
      </w:r>
      <w:r w:rsidRPr="00C85C82">
        <w:rPr>
          <w:rFonts w:ascii="HendersonSansW00-BasicLight" w:hAnsi="HendersonSansW00-BasicLight" w:cs="Arial"/>
          <w:sz w:val="22"/>
          <w:szCs w:val="22"/>
          <w:lang w:val="es-CR"/>
        </w:rPr>
        <w:t>muy bueno</w:t>
      </w:r>
      <w:r w:rsidR="001963CD" w:rsidRPr="00C85C82">
        <w:rPr>
          <w:rFonts w:ascii="HendersonSansW00-BasicLight" w:hAnsi="HendersonSansW00-BasicLight" w:cs="Arial"/>
          <w:sz w:val="22"/>
          <w:szCs w:val="22"/>
          <w:lang w:val="es-CR"/>
        </w:rPr>
        <w:t>, bueno)</w:t>
      </w:r>
      <w:r w:rsidRPr="00C85C82">
        <w:rPr>
          <w:rFonts w:ascii="HendersonSansW00-BasicLight" w:hAnsi="HendersonSansW00-BasicLight" w:cs="Arial"/>
          <w:sz w:val="22"/>
          <w:szCs w:val="22"/>
          <w:lang w:val="es-CR"/>
        </w:rPr>
        <w:t xml:space="preserve"> y brindado a satisfacción de la Administración de acuerdo con las características y aspectos contratados.</w:t>
      </w:r>
    </w:p>
    <w:p w14:paraId="5197BDF6" w14:textId="77777777" w:rsidR="00725813" w:rsidRPr="00C85C82" w:rsidRDefault="00725813" w:rsidP="00533DC0">
      <w:pPr>
        <w:pStyle w:val="WW-Predeterminado"/>
        <w:jc w:val="both"/>
        <w:rPr>
          <w:rFonts w:ascii="HendersonSansW00-BasicLight" w:hAnsi="HendersonSansW00-BasicLight" w:cs="Arial"/>
          <w:sz w:val="22"/>
          <w:szCs w:val="22"/>
          <w:lang w:val="es-CR"/>
        </w:rPr>
      </w:pPr>
    </w:p>
    <w:p w14:paraId="455F702A" w14:textId="77777777" w:rsidR="00725813" w:rsidRPr="00C85C82" w:rsidRDefault="00725813" w:rsidP="00533DC0">
      <w:pPr>
        <w:spacing w:line="240" w:lineRule="auto"/>
        <w:rPr>
          <w:rFonts w:ascii="HendersonSansW00-BasicLight" w:hAnsi="HendersonSansW00-BasicLight" w:cs="Arial"/>
        </w:rPr>
      </w:pPr>
      <w:r w:rsidRPr="00C85C82">
        <w:rPr>
          <w:rFonts w:ascii="HendersonSansW00-BasicLight" w:hAnsi="HendersonSansW00-BasicLight" w:cs="Arial"/>
        </w:rPr>
        <w:t>Atentamente,</w:t>
      </w:r>
    </w:p>
    <w:p w14:paraId="795EE760" w14:textId="77777777" w:rsidR="00725813" w:rsidRPr="00C85C82" w:rsidRDefault="00725813" w:rsidP="00533DC0">
      <w:pPr>
        <w:spacing w:line="240" w:lineRule="auto"/>
        <w:rPr>
          <w:rFonts w:ascii="HendersonSansW00-BasicLight" w:hAnsi="HendersonSansW00-BasicLight" w:cs="Arial"/>
        </w:rPr>
      </w:pPr>
    </w:p>
    <w:p w14:paraId="48DF5233" w14:textId="77777777" w:rsidR="00725813" w:rsidRPr="00C85C82" w:rsidRDefault="00725813" w:rsidP="00533DC0">
      <w:pPr>
        <w:spacing w:line="240" w:lineRule="auto"/>
        <w:rPr>
          <w:rFonts w:ascii="HendersonSansW00-BasicLight" w:hAnsi="HendersonSansW00-BasicLight" w:cs="Arial"/>
        </w:rPr>
      </w:pPr>
    </w:p>
    <w:p w14:paraId="13F770ED" w14:textId="47309FA1" w:rsidR="00725813" w:rsidRPr="00C85C82" w:rsidRDefault="001963CD"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Nombre de quien suscribe</w:t>
      </w:r>
    </w:p>
    <w:p w14:paraId="16B3FEBB" w14:textId="38E7EC3D" w:rsidR="00725813" w:rsidRPr="00C85C82" w:rsidRDefault="001963CD"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Cargo</w:t>
      </w:r>
    </w:p>
    <w:p w14:paraId="123FFC1E" w14:textId="71AA3203" w:rsidR="00725813" w:rsidRPr="00C85C82" w:rsidRDefault="007258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Cédula No</w:t>
      </w:r>
      <w:r w:rsidR="001963CD" w:rsidRPr="00C85C82">
        <w:rPr>
          <w:rFonts w:ascii="HendersonSansW00-BasicLight" w:hAnsi="HendersonSansW00-BasicLight" w:cs="Arial"/>
          <w:b/>
        </w:rPr>
        <w:t>. xxxx</w:t>
      </w:r>
      <w:r w:rsidRPr="00C85C82">
        <w:rPr>
          <w:rFonts w:ascii="HendersonSansW00-BasicLight" w:hAnsi="HendersonSansW00-BasicLight" w:cs="Arial"/>
          <w:b/>
        </w:rPr>
        <w:t xml:space="preserve"> </w:t>
      </w:r>
    </w:p>
    <w:p w14:paraId="0CB87D07" w14:textId="2E9B4EB9" w:rsidR="00D85772" w:rsidRDefault="007258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 xml:space="preserve">Correo electrónico: </w:t>
      </w:r>
      <w:bookmarkStart w:id="19" w:name="_heading=h.l4jnchf9zqf9" w:colFirst="0" w:colLast="0"/>
      <w:bookmarkEnd w:id="19"/>
    </w:p>
    <w:p w14:paraId="1727E48E" w14:textId="77777777" w:rsidR="00D85772" w:rsidRDefault="00D85772" w:rsidP="00533DC0">
      <w:pPr>
        <w:spacing w:line="240" w:lineRule="auto"/>
        <w:rPr>
          <w:rFonts w:ascii="HendersonSansW00-BasicLight" w:hAnsi="HendersonSansW00-BasicLight" w:cs="Arial"/>
          <w:b/>
        </w:rPr>
      </w:pPr>
      <w:r>
        <w:rPr>
          <w:rFonts w:ascii="HendersonSansW00-BasicLight" w:hAnsi="HendersonSansW00-BasicLight" w:cs="Arial"/>
          <w:b/>
        </w:rPr>
        <w:br w:type="page"/>
      </w:r>
    </w:p>
    <w:p w14:paraId="4A564053" w14:textId="78011BF6" w:rsidR="005D0C13" w:rsidRPr="00C85C82" w:rsidRDefault="0028438A" w:rsidP="00533DC0">
      <w:pPr>
        <w:tabs>
          <w:tab w:val="left" w:pos="2220"/>
        </w:tabs>
        <w:spacing w:after="0" w:line="240" w:lineRule="auto"/>
        <w:jc w:val="center"/>
        <w:rPr>
          <w:rFonts w:ascii="HendersonSansW00-BasicLight" w:eastAsia="Garamond" w:hAnsi="HendersonSansW00-BasicLight" w:cs="Garamond"/>
          <w:b/>
        </w:rPr>
      </w:pPr>
      <w:r>
        <w:rPr>
          <w:rFonts w:ascii="HendersonSansW00-BasicLight" w:hAnsi="HendersonSansW00-BasicLight" w:cs="Arial"/>
          <w:b/>
        </w:rPr>
        <w:lastRenderedPageBreak/>
        <w:t xml:space="preserve">TABLA 1b </w:t>
      </w:r>
      <w:r w:rsidR="005D0C13" w:rsidRPr="00C85C82">
        <w:rPr>
          <w:rFonts w:ascii="HendersonSansW00-BasicLight" w:eastAsia="Garamond" w:hAnsi="HendersonSansW00-BasicLight" w:cs="Garamond"/>
          <w:b/>
        </w:rPr>
        <w:t>FORMATO</w:t>
      </w:r>
    </w:p>
    <w:p w14:paraId="5D7350F2" w14:textId="67601DF3" w:rsidR="005D0C13" w:rsidRPr="00C85C82" w:rsidRDefault="005D0C13" w:rsidP="00533DC0">
      <w:pPr>
        <w:keepNext/>
        <w:keepLines/>
        <w:spacing w:after="0" w:line="240" w:lineRule="auto"/>
        <w:ind w:left="-566" w:right="-646"/>
        <w:jc w:val="center"/>
        <w:rPr>
          <w:rFonts w:ascii="HendersonSansW00-BasicLight" w:eastAsia="Garamond" w:hAnsi="HendersonSansW00-BasicLight" w:cs="Garamond"/>
          <w:b/>
        </w:rPr>
      </w:pPr>
      <w:r w:rsidRPr="00C85C82">
        <w:rPr>
          <w:rFonts w:ascii="HendersonSansW00-BasicLight" w:eastAsia="Garamond" w:hAnsi="HendersonSansW00-BasicLight" w:cs="Garamond"/>
          <w:b/>
        </w:rPr>
        <w:t>CERTIFICACIÓN EXPERIENCIA EN COMPETENCIAS ESPECÍFICAS</w:t>
      </w:r>
    </w:p>
    <w:p w14:paraId="6CF6BD15" w14:textId="77777777" w:rsidR="00CA6C15" w:rsidRDefault="00CA6C15" w:rsidP="00533DC0">
      <w:pPr>
        <w:spacing w:line="240" w:lineRule="auto"/>
        <w:rPr>
          <w:rFonts w:ascii="HendersonSansW00-BasicLight" w:hAnsi="HendersonSansW00-BasicLight" w:cs="Arial"/>
        </w:rPr>
      </w:pPr>
    </w:p>
    <w:p w14:paraId="77ACB97F" w14:textId="10537686" w:rsidR="005D0C13" w:rsidRPr="00C85C82" w:rsidRDefault="005D0C13" w:rsidP="00533DC0">
      <w:pPr>
        <w:spacing w:line="240" w:lineRule="auto"/>
        <w:rPr>
          <w:rFonts w:ascii="HendersonSansW00-BasicLight" w:hAnsi="HendersonSansW00-BasicLight" w:cs="Arial"/>
        </w:rPr>
      </w:pPr>
      <w:r w:rsidRPr="00C85C82">
        <w:rPr>
          <w:rFonts w:ascii="HendersonSansW00-BasicLight" w:hAnsi="HendersonSansW00-BasicLight" w:cs="Arial"/>
        </w:rPr>
        <w:t>Fecha XXXX</w:t>
      </w:r>
    </w:p>
    <w:p w14:paraId="385546B5" w14:textId="77777777" w:rsidR="005D0C13" w:rsidRPr="00C85C82" w:rsidRDefault="005D0C13" w:rsidP="00533DC0">
      <w:pPr>
        <w:spacing w:line="240" w:lineRule="auto"/>
        <w:rPr>
          <w:rFonts w:ascii="HendersonSansW00-BasicLight" w:hAnsi="HendersonSansW00-BasicLight" w:cs="Arial"/>
        </w:rPr>
      </w:pPr>
      <w:r w:rsidRPr="00C85C82">
        <w:rPr>
          <w:rFonts w:ascii="HendersonSansW00-BasicLight" w:hAnsi="HendersonSansW00-BasicLight" w:cs="Arial"/>
        </w:rPr>
        <w:t>Estimados señores:</w:t>
      </w:r>
    </w:p>
    <w:p w14:paraId="3A86541D" w14:textId="2CE1C203" w:rsidR="005D0C13" w:rsidRPr="00C85C82" w:rsidRDefault="00CA6C15" w:rsidP="00533DC0">
      <w:pPr>
        <w:pStyle w:val="WW-Predeterminado"/>
        <w:jc w:val="both"/>
        <w:rPr>
          <w:rFonts w:ascii="HendersonSansW00-BasicLight" w:hAnsi="HendersonSansW00-BasicLight" w:cs="Arial"/>
          <w:sz w:val="22"/>
          <w:szCs w:val="22"/>
        </w:rPr>
      </w:pPr>
      <w:r>
        <w:rPr>
          <w:rFonts w:ascii="HendersonSansW00-BasicLight" w:hAnsi="HendersonSansW00-BasicLight" w:cs="Arial"/>
          <w:sz w:val="22"/>
          <w:szCs w:val="22"/>
        </w:rPr>
        <w:t>El (Institución/E</w:t>
      </w:r>
      <w:r w:rsidR="005D0C13" w:rsidRPr="00C85C82">
        <w:rPr>
          <w:rFonts w:ascii="HendersonSansW00-BasicLight" w:hAnsi="HendersonSansW00-BasicLight" w:cs="Arial"/>
          <w:sz w:val="22"/>
          <w:szCs w:val="22"/>
        </w:rPr>
        <w:t>mpresa),</w:t>
      </w:r>
      <w:r w:rsidR="005D0C13" w:rsidRPr="00C85C82">
        <w:rPr>
          <w:rFonts w:ascii="HendersonSansW00-BasicLight" w:hAnsi="HendersonSansW00-BasicLight" w:cs="Arial"/>
          <w:color w:val="FF0000"/>
          <w:sz w:val="22"/>
          <w:szCs w:val="22"/>
          <w:lang w:val="es-CR"/>
        </w:rPr>
        <w:t xml:space="preserve"> </w:t>
      </w:r>
      <w:r w:rsidR="005D0C13" w:rsidRPr="00C85C82">
        <w:rPr>
          <w:rFonts w:ascii="HendersonSansW00-BasicLight" w:hAnsi="HendersonSansW00-BasicLight" w:cs="Arial"/>
          <w:sz w:val="22"/>
          <w:szCs w:val="22"/>
        </w:rPr>
        <w:t>con número de cédula jurídica xxxx, con domi</w:t>
      </w:r>
      <w:r>
        <w:rPr>
          <w:rFonts w:ascii="HendersonSansW00-BasicLight" w:hAnsi="HendersonSansW00-BasicLight" w:cs="Arial"/>
          <w:sz w:val="22"/>
          <w:szCs w:val="22"/>
        </w:rPr>
        <w:t>cilio xxxxx, a solicitud de la E</w:t>
      </w:r>
      <w:r w:rsidR="005D0C13" w:rsidRPr="00C85C82">
        <w:rPr>
          <w:rFonts w:ascii="HendersonSansW00-BasicLight" w:hAnsi="HendersonSansW00-BasicLight" w:cs="Arial"/>
          <w:sz w:val="22"/>
          <w:szCs w:val="22"/>
        </w:rPr>
        <w:t>mpresa xxxxx, cédula jurídica No.</w:t>
      </w:r>
      <w:r w:rsidR="005D0C13" w:rsidRPr="00C85C82">
        <w:rPr>
          <w:rFonts w:ascii="HendersonSansW00-BasicLight" w:hAnsi="HendersonSansW00-BasicLight"/>
          <w:sz w:val="22"/>
          <w:szCs w:val="22"/>
        </w:rPr>
        <w:t xml:space="preserve"> </w:t>
      </w:r>
      <w:r w:rsidR="005D0C13" w:rsidRPr="00C85C82">
        <w:rPr>
          <w:rFonts w:ascii="HendersonSansW00-BasicLight" w:hAnsi="HendersonSansW00-BasicLight" w:cs="Arial"/>
          <w:sz w:val="22"/>
          <w:szCs w:val="22"/>
        </w:rPr>
        <w:t>xxxx, con domicilio</w:t>
      </w:r>
      <w:r>
        <w:rPr>
          <w:rFonts w:ascii="HendersonSansW00-BasicLight" w:hAnsi="HendersonSansW00-BasicLight" w:cs="Arial"/>
          <w:sz w:val="22"/>
          <w:szCs w:val="22"/>
        </w:rPr>
        <w:t xml:space="preserve"> en xxxxx, hace constar que la E</w:t>
      </w:r>
      <w:r w:rsidR="005D0C13" w:rsidRPr="00C85C82">
        <w:rPr>
          <w:rFonts w:ascii="HendersonSansW00-BasicLight" w:hAnsi="HendersonSansW00-BasicLight" w:cs="Arial"/>
          <w:sz w:val="22"/>
          <w:szCs w:val="22"/>
        </w:rPr>
        <w:t>mpresa xxxxx prestó los servicios a (Institución/empresa), a través de la contratación No. xxxx (aplica para el Sector Público), servicios que se detallan:</w:t>
      </w:r>
      <w:r w:rsidR="0094506A">
        <w:rPr>
          <w:rFonts w:ascii="HendersonSansW00-BasicLight" w:hAnsi="HendersonSansW00-BasicLight" w:cs="Arial"/>
          <w:sz w:val="22"/>
          <w:szCs w:val="22"/>
        </w:rPr>
        <w:t xml:space="preserve">   </w:t>
      </w:r>
    </w:p>
    <w:p w14:paraId="4E55A584" w14:textId="77777777" w:rsidR="005D0C13" w:rsidRPr="00C85C82" w:rsidRDefault="005D0C13" w:rsidP="00533DC0">
      <w:pPr>
        <w:pStyle w:val="WW-Predeterminado"/>
        <w:jc w:val="both"/>
        <w:rPr>
          <w:rFonts w:ascii="HendersonSansW00-BasicLight" w:hAnsi="HendersonSansW00-BasicLight" w:cs="Arial"/>
          <w:sz w:val="22"/>
          <w:szCs w:val="22"/>
        </w:rPr>
      </w:pPr>
    </w:p>
    <w:tbl>
      <w:tblPr>
        <w:tblStyle w:val="Tablaconcuadrcula"/>
        <w:tblW w:w="0" w:type="auto"/>
        <w:tblLook w:val="04A0" w:firstRow="1" w:lastRow="0" w:firstColumn="1" w:lastColumn="0" w:noHBand="0" w:noVBand="1"/>
      </w:tblPr>
      <w:tblGrid>
        <w:gridCol w:w="2340"/>
        <w:gridCol w:w="1638"/>
        <w:gridCol w:w="1671"/>
        <w:gridCol w:w="1664"/>
        <w:gridCol w:w="1515"/>
      </w:tblGrid>
      <w:tr w:rsidR="00EB4D62" w:rsidRPr="00D13CA1" w14:paraId="7DAABD92" w14:textId="7B38C747" w:rsidTr="00EB4D62">
        <w:tc>
          <w:tcPr>
            <w:tcW w:w="2340" w:type="dxa"/>
            <w:vAlign w:val="center"/>
          </w:tcPr>
          <w:p w14:paraId="6B44A8AE" w14:textId="773737FD" w:rsidR="00EB4D62" w:rsidRPr="00D13CA1" w:rsidRDefault="00EB4D62" w:rsidP="00533DC0">
            <w:pPr>
              <w:pStyle w:val="WW-Predeterminado"/>
              <w:jc w:val="center"/>
              <w:rPr>
                <w:rFonts w:ascii="HendersonSansW00-BasicLight" w:hAnsi="HendersonSansW00-BasicLight" w:cs="Arial"/>
                <w:b/>
                <w:bCs/>
                <w:sz w:val="12"/>
                <w:szCs w:val="12"/>
              </w:rPr>
            </w:pPr>
            <w:r w:rsidRPr="00D13CA1">
              <w:rPr>
                <w:rFonts w:ascii="HendersonSansW00-BasicLight" w:hAnsi="HendersonSansW00-BasicLight" w:cs="Arial"/>
                <w:b/>
                <w:bCs/>
                <w:sz w:val="12"/>
                <w:szCs w:val="12"/>
              </w:rPr>
              <w:t>Competencia Específica</w:t>
            </w:r>
          </w:p>
        </w:tc>
        <w:tc>
          <w:tcPr>
            <w:tcW w:w="1638" w:type="dxa"/>
            <w:vAlign w:val="center"/>
          </w:tcPr>
          <w:p w14:paraId="4408198A" w14:textId="4D46D69E" w:rsidR="00EB4D62" w:rsidRPr="00D13CA1" w:rsidRDefault="00EB4D62" w:rsidP="00533DC0">
            <w:pPr>
              <w:pStyle w:val="WW-Predeterminado"/>
              <w:jc w:val="center"/>
              <w:rPr>
                <w:rFonts w:ascii="HendersonSansW00-BasicLight" w:hAnsi="HendersonSansW00-BasicLight" w:cs="Arial"/>
                <w:b/>
                <w:bCs/>
                <w:sz w:val="12"/>
                <w:szCs w:val="12"/>
              </w:rPr>
            </w:pPr>
            <w:r w:rsidRPr="00D13CA1">
              <w:rPr>
                <w:rFonts w:ascii="HendersonSansW00-BasicLight" w:hAnsi="HendersonSansW00-BasicLight" w:cs="Arial"/>
                <w:b/>
                <w:bCs/>
                <w:sz w:val="12"/>
                <w:szCs w:val="12"/>
              </w:rPr>
              <w:t>Nombre del estudio o servicio realizado</w:t>
            </w:r>
          </w:p>
        </w:tc>
        <w:tc>
          <w:tcPr>
            <w:tcW w:w="1671" w:type="dxa"/>
            <w:vAlign w:val="center"/>
          </w:tcPr>
          <w:p w14:paraId="05C8A691" w14:textId="6101970E" w:rsidR="00EB4D62" w:rsidRPr="00D13CA1" w:rsidRDefault="00EB4D62" w:rsidP="00533DC0">
            <w:pPr>
              <w:pStyle w:val="WW-Predeterminado"/>
              <w:jc w:val="center"/>
              <w:rPr>
                <w:rFonts w:ascii="HendersonSansW00-BasicLight" w:hAnsi="HendersonSansW00-BasicLight" w:cs="Arial"/>
                <w:b/>
                <w:bCs/>
                <w:sz w:val="12"/>
                <w:szCs w:val="12"/>
              </w:rPr>
            </w:pPr>
            <w:r w:rsidRPr="00D13CA1">
              <w:rPr>
                <w:rFonts w:ascii="HendersonSansW00-BasicLight" w:hAnsi="HendersonSansW00-BasicLight" w:cs="Arial"/>
                <w:b/>
                <w:bCs/>
                <w:sz w:val="12"/>
                <w:szCs w:val="12"/>
              </w:rPr>
              <w:t xml:space="preserve">Descripción general del </w:t>
            </w:r>
            <w:r>
              <w:rPr>
                <w:rFonts w:ascii="HendersonSansW00-BasicLight" w:hAnsi="HendersonSansW00-BasicLight" w:cs="Arial"/>
                <w:b/>
                <w:bCs/>
                <w:sz w:val="12"/>
                <w:szCs w:val="12"/>
              </w:rPr>
              <w:t>estudio</w:t>
            </w:r>
            <w:r w:rsidRPr="00D13CA1">
              <w:rPr>
                <w:rFonts w:ascii="HendersonSansW00-BasicLight" w:hAnsi="HendersonSansW00-BasicLight" w:cs="Arial"/>
                <w:b/>
                <w:bCs/>
                <w:sz w:val="12"/>
                <w:szCs w:val="12"/>
              </w:rPr>
              <w:t xml:space="preserve"> realizado</w:t>
            </w:r>
          </w:p>
        </w:tc>
        <w:tc>
          <w:tcPr>
            <w:tcW w:w="1664" w:type="dxa"/>
            <w:vAlign w:val="center"/>
          </w:tcPr>
          <w:p w14:paraId="5D47A9B2" w14:textId="4EF35159" w:rsidR="00EB4D62" w:rsidRPr="00D13CA1" w:rsidRDefault="00EB4D62" w:rsidP="00533DC0">
            <w:pPr>
              <w:pStyle w:val="WW-Predeterminado"/>
              <w:jc w:val="center"/>
              <w:rPr>
                <w:rFonts w:ascii="HendersonSansW00-BasicLight" w:hAnsi="HendersonSansW00-BasicLight" w:cs="Arial"/>
                <w:b/>
                <w:bCs/>
                <w:sz w:val="12"/>
                <w:szCs w:val="12"/>
              </w:rPr>
            </w:pPr>
            <w:r w:rsidRPr="00D13CA1">
              <w:rPr>
                <w:rFonts w:ascii="HendersonSansW00-BasicLight" w:hAnsi="HendersonSansW00-BasicLight" w:cs="Arial"/>
                <w:b/>
                <w:bCs/>
                <w:sz w:val="12"/>
                <w:szCs w:val="12"/>
              </w:rPr>
              <w:t xml:space="preserve">Fecha y duración de la prestación del </w:t>
            </w:r>
            <w:r>
              <w:rPr>
                <w:rFonts w:ascii="HendersonSansW00-BasicLight" w:hAnsi="HendersonSansW00-BasicLight" w:cs="Arial"/>
                <w:b/>
                <w:bCs/>
                <w:sz w:val="12"/>
                <w:szCs w:val="12"/>
              </w:rPr>
              <w:t>estudio</w:t>
            </w:r>
            <w:r w:rsidRPr="00D13CA1">
              <w:rPr>
                <w:rFonts w:ascii="HendersonSansW00-BasicLight" w:hAnsi="HendersonSansW00-BasicLight" w:cs="Arial"/>
                <w:b/>
                <w:bCs/>
                <w:sz w:val="12"/>
                <w:szCs w:val="12"/>
              </w:rPr>
              <w:t xml:space="preserve"> (mes y año)</w:t>
            </w:r>
          </w:p>
        </w:tc>
        <w:tc>
          <w:tcPr>
            <w:tcW w:w="1515" w:type="dxa"/>
            <w:vAlign w:val="center"/>
          </w:tcPr>
          <w:p w14:paraId="4C41F49D" w14:textId="35694EC0" w:rsidR="00EB4D62" w:rsidRPr="00D13CA1" w:rsidRDefault="00EB4D62" w:rsidP="00533DC0">
            <w:pPr>
              <w:pStyle w:val="WW-Predeterminado"/>
              <w:jc w:val="center"/>
              <w:rPr>
                <w:rFonts w:ascii="HendersonSansW00-BasicLight" w:hAnsi="HendersonSansW00-BasicLight" w:cs="Arial"/>
                <w:b/>
                <w:bCs/>
                <w:sz w:val="12"/>
                <w:szCs w:val="12"/>
              </w:rPr>
            </w:pPr>
            <w:r w:rsidRPr="00EB4D62">
              <w:rPr>
                <w:rFonts w:ascii="HendersonSansW00-BasicLight" w:hAnsi="HendersonSansW00-BasicLight" w:cs="Arial"/>
                <w:b/>
                <w:bCs/>
                <w:sz w:val="12"/>
                <w:szCs w:val="12"/>
              </w:rPr>
              <w:t>Numero de oficio de aprobación</w:t>
            </w:r>
          </w:p>
        </w:tc>
      </w:tr>
      <w:tr w:rsidR="00EB4D62" w:rsidRPr="00D13CA1" w14:paraId="55C8BEE6" w14:textId="195214C3" w:rsidTr="00EB4D62">
        <w:tc>
          <w:tcPr>
            <w:tcW w:w="2340" w:type="dxa"/>
          </w:tcPr>
          <w:p w14:paraId="6ED41A7B" w14:textId="5606B095" w:rsidR="00EB4D62" w:rsidRPr="00D7143A" w:rsidRDefault="00EB4D62" w:rsidP="00533DC0">
            <w:pPr>
              <w:pStyle w:val="WW-Predeterminado"/>
              <w:rPr>
                <w:rFonts w:ascii="HendersonSansW00-BasicLight" w:hAnsi="HendersonSansW00-BasicLight" w:cs="Arial"/>
                <w:sz w:val="12"/>
                <w:szCs w:val="12"/>
              </w:rPr>
            </w:pPr>
            <w:r w:rsidRPr="00D7143A">
              <w:rPr>
                <w:rFonts w:ascii="HendersonSansW00-BasicLight" w:hAnsi="HendersonSansW00-BasicLight"/>
                <w:sz w:val="12"/>
                <w:szCs w:val="12"/>
              </w:rPr>
              <w:t>1. Experiencia en levantamiento de información en sitio.</w:t>
            </w:r>
          </w:p>
        </w:tc>
        <w:tc>
          <w:tcPr>
            <w:tcW w:w="1638" w:type="dxa"/>
          </w:tcPr>
          <w:p w14:paraId="5A08C144"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1CEB43B8"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0891A08C"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7CF33BA0"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11F44BE6" w14:textId="1A437192" w:rsidTr="00EB4D62">
        <w:tc>
          <w:tcPr>
            <w:tcW w:w="2340" w:type="dxa"/>
          </w:tcPr>
          <w:p w14:paraId="1150658F" w14:textId="59B128D5" w:rsidR="00EB4D62" w:rsidRPr="00D7143A" w:rsidRDefault="00EB4D62" w:rsidP="00533DC0">
            <w:pPr>
              <w:pStyle w:val="WW-Predeterminado"/>
              <w:rPr>
                <w:rFonts w:ascii="HendersonSansW00-BasicLight" w:hAnsi="HendersonSansW00-BasicLight" w:cs="Arial"/>
                <w:sz w:val="12"/>
                <w:szCs w:val="12"/>
              </w:rPr>
            </w:pPr>
            <w:r w:rsidRPr="00D7143A">
              <w:rPr>
                <w:rFonts w:ascii="HendersonSansW00-BasicLight" w:hAnsi="HendersonSansW00-BasicLight"/>
                <w:sz w:val="12"/>
                <w:szCs w:val="12"/>
              </w:rPr>
              <w:t>2. Sistematización y análisis de la información</w:t>
            </w:r>
          </w:p>
        </w:tc>
        <w:tc>
          <w:tcPr>
            <w:tcW w:w="1638" w:type="dxa"/>
          </w:tcPr>
          <w:p w14:paraId="5454D6EB"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55C5E982"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249C0EE6"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2868BF0A"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1C621004" w14:textId="5575A3AB" w:rsidTr="00EB4D62">
        <w:tc>
          <w:tcPr>
            <w:tcW w:w="2340" w:type="dxa"/>
          </w:tcPr>
          <w:p w14:paraId="416CB86C" w14:textId="7C785203" w:rsidR="00EB4D62" w:rsidRPr="00D7143A" w:rsidRDefault="00EB4D62" w:rsidP="00533DC0">
            <w:pPr>
              <w:pStyle w:val="WW-Predeterminado"/>
              <w:rPr>
                <w:rFonts w:ascii="HendersonSansW00-BasicLight" w:hAnsi="HendersonSansW00-BasicLight" w:cs="Arial"/>
                <w:sz w:val="12"/>
                <w:szCs w:val="12"/>
              </w:rPr>
            </w:pPr>
            <w:r w:rsidRPr="00D7143A">
              <w:rPr>
                <w:rFonts w:ascii="HendersonSansW00-BasicLight" w:hAnsi="HendersonSansW00-BasicLight"/>
                <w:sz w:val="12"/>
                <w:szCs w:val="12"/>
              </w:rPr>
              <w:t xml:space="preserve">3. Experiencia en estimación de costos. </w:t>
            </w:r>
          </w:p>
        </w:tc>
        <w:tc>
          <w:tcPr>
            <w:tcW w:w="1638" w:type="dxa"/>
          </w:tcPr>
          <w:p w14:paraId="02EBECEB"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2FEC9324"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21D5A685"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1D14CA70"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2BAF615B" w14:textId="41A6F312" w:rsidTr="00EB4D62">
        <w:tc>
          <w:tcPr>
            <w:tcW w:w="2340" w:type="dxa"/>
          </w:tcPr>
          <w:p w14:paraId="634398FB" w14:textId="318689D0" w:rsidR="00EB4D62" w:rsidRPr="00C30C82" w:rsidRDefault="00EB4D62" w:rsidP="00533DC0">
            <w:pPr>
              <w:pStyle w:val="WW-Predeterminado"/>
              <w:rPr>
                <w:rFonts w:ascii="HendersonSansW00-BasicLight" w:hAnsi="HendersonSansW00-BasicLight" w:cs="Arial"/>
                <w:sz w:val="12"/>
                <w:szCs w:val="12"/>
              </w:rPr>
            </w:pPr>
            <w:r w:rsidRPr="00C30C82">
              <w:rPr>
                <w:rFonts w:ascii="HendersonSansW00-BasicLight" w:hAnsi="HendersonSansW00-BasicLight"/>
                <w:sz w:val="12"/>
                <w:szCs w:val="12"/>
              </w:rPr>
              <w:t>4. Experiencia en análisis hidráulico preciso de las redes (tuberías de los sistemas existentes y en uso de acueductos)</w:t>
            </w:r>
          </w:p>
        </w:tc>
        <w:tc>
          <w:tcPr>
            <w:tcW w:w="1638" w:type="dxa"/>
          </w:tcPr>
          <w:p w14:paraId="3350D084"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3E5C310B"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71D24BB5" w14:textId="68022599"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3CC7BED9" w14:textId="77777777" w:rsidR="00EB4D62" w:rsidRDefault="00EB4D62" w:rsidP="00533DC0">
            <w:pPr>
              <w:pStyle w:val="WW-Predeterminado"/>
              <w:jc w:val="center"/>
              <w:rPr>
                <w:rFonts w:ascii="HendersonSansW00-BasicLight" w:hAnsi="HendersonSansW00-BasicLight" w:cs="Arial"/>
                <w:sz w:val="12"/>
                <w:szCs w:val="12"/>
              </w:rPr>
            </w:pPr>
          </w:p>
        </w:tc>
      </w:tr>
      <w:tr w:rsidR="00EB4D62" w:rsidRPr="00D13CA1" w14:paraId="33CF65DB" w14:textId="55F16558" w:rsidTr="00EB4D62">
        <w:tc>
          <w:tcPr>
            <w:tcW w:w="2340" w:type="dxa"/>
          </w:tcPr>
          <w:p w14:paraId="64B58803" w14:textId="6FF804E3" w:rsidR="00EB4D62" w:rsidRPr="00C30C82" w:rsidRDefault="00EB4D62" w:rsidP="00533DC0">
            <w:pPr>
              <w:jc w:val="both"/>
              <w:rPr>
                <w:rFonts w:ascii="HendersonSansW00-BasicLight" w:eastAsia="Garamond" w:hAnsi="HendersonSansW00-BasicLight" w:cs="Garamond"/>
                <w:sz w:val="12"/>
                <w:szCs w:val="12"/>
              </w:rPr>
            </w:pPr>
            <w:r w:rsidRPr="00C30C82">
              <w:rPr>
                <w:rFonts w:ascii="HendersonSansW00-BasicLight" w:eastAsia="Garamond" w:hAnsi="HendersonSansW00-BasicLight" w:cs="Garamond"/>
                <w:sz w:val="12"/>
                <w:szCs w:val="12"/>
              </w:rPr>
              <w:t>5. Experiencia en análisis de capacidad hídrica y capacidad de almacenamiento de los sistemas existentes y en uso de los acueductos, con proyecciones de mejoras a 25 años.</w:t>
            </w:r>
          </w:p>
        </w:tc>
        <w:tc>
          <w:tcPr>
            <w:tcW w:w="1638" w:type="dxa"/>
          </w:tcPr>
          <w:p w14:paraId="232FC14B"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7A172ACA"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65D191B3"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28C9CAFE"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4D1F008F" w14:textId="607D4CEF" w:rsidTr="00EB4D62">
        <w:tc>
          <w:tcPr>
            <w:tcW w:w="2340" w:type="dxa"/>
          </w:tcPr>
          <w:p w14:paraId="368356A1" w14:textId="1877FCE4" w:rsidR="00EB4D62" w:rsidRPr="00C30C82" w:rsidRDefault="00EB4D62" w:rsidP="00533DC0">
            <w:pPr>
              <w:jc w:val="both"/>
              <w:rPr>
                <w:rFonts w:ascii="HendersonSansW00-BasicLight" w:eastAsia="Garamond" w:hAnsi="HendersonSansW00-BasicLight" w:cs="Garamond"/>
                <w:sz w:val="12"/>
                <w:szCs w:val="12"/>
              </w:rPr>
            </w:pPr>
            <w:r w:rsidRPr="00C30C82">
              <w:rPr>
                <w:rFonts w:ascii="HendersonSansW00-BasicLight" w:eastAsia="Garamond" w:hAnsi="HendersonSansW00-BasicLight" w:cs="Garamond"/>
                <w:sz w:val="12"/>
                <w:szCs w:val="12"/>
              </w:rPr>
              <w:t>6. Experiencia en diseño y elaboración de planos de sistemas hidráulicos existentes y de mejoras a realizar a partir de un estudio técnico.</w:t>
            </w:r>
          </w:p>
        </w:tc>
        <w:tc>
          <w:tcPr>
            <w:tcW w:w="1638" w:type="dxa"/>
          </w:tcPr>
          <w:p w14:paraId="679F30AF"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611B8D61"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790B99FA"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41FD64C9"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180CA8FE" w14:textId="31104571" w:rsidTr="00EB4D62">
        <w:tc>
          <w:tcPr>
            <w:tcW w:w="2340" w:type="dxa"/>
          </w:tcPr>
          <w:p w14:paraId="6A905118" w14:textId="7EF6C4A3" w:rsidR="00EB4D62" w:rsidRPr="00C30C82" w:rsidRDefault="00EB4D62" w:rsidP="00533DC0">
            <w:pPr>
              <w:jc w:val="both"/>
              <w:rPr>
                <w:rFonts w:ascii="HendersonSansW00-BasicLight" w:eastAsia="Garamond" w:hAnsi="HendersonSansW00-BasicLight" w:cs="Garamond"/>
                <w:sz w:val="12"/>
                <w:szCs w:val="12"/>
              </w:rPr>
            </w:pPr>
            <w:r w:rsidRPr="00C30C82">
              <w:rPr>
                <w:rFonts w:ascii="HendersonSansW00-BasicLight" w:eastAsia="Garamond" w:hAnsi="HendersonSansW00-BasicLight" w:cs="Garamond"/>
                <w:sz w:val="12"/>
                <w:szCs w:val="12"/>
              </w:rPr>
              <w:t>7. Experiencia en elaboración de mapas y figuras con los formatos solicitados en los términos de referencia del AyA.</w:t>
            </w:r>
          </w:p>
        </w:tc>
        <w:tc>
          <w:tcPr>
            <w:tcW w:w="1638" w:type="dxa"/>
          </w:tcPr>
          <w:p w14:paraId="3D83FFED"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0BFE0AC1"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2BEF57EB"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5844D265"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17020171" w14:textId="63485E6E" w:rsidTr="00EB4D62">
        <w:tc>
          <w:tcPr>
            <w:tcW w:w="2340" w:type="dxa"/>
          </w:tcPr>
          <w:p w14:paraId="1A379363" w14:textId="47187496" w:rsidR="00EB4D62" w:rsidRPr="00C30C82" w:rsidRDefault="00EB4D62" w:rsidP="00533DC0">
            <w:pPr>
              <w:jc w:val="both"/>
              <w:rPr>
                <w:rFonts w:ascii="HendersonSansW00-BasicLight" w:hAnsi="HendersonSansW00-BasicLight" w:cs="Arial"/>
                <w:sz w:val="12"/>
                <w:szCs w:val="12"/>
              </w:rPr>
            </w:pPr>
            <w:r w:rsidRPr="00C30C82">
              <w:rPr>
                <w:rFonts w:ascii="HendersonSansW00-BasicLight" w:eastAsia="Garamond" w:hAnsi="HendersonSansW00-BasicLight" w:cs="Garamond"/>
                <w:sz w:val="12"/>
                <w:szCs w:val="12"/>
              </w:rPr>
              <w:t xml:space="preserve">8. Experiencia en elaboración de especificaciones técnicas de materiales y equipos, teniendo en cuenta parámetros de calidad y según los resultados de un estudio técnico. </w:t>
            </w:r>
          </w:p>
        </w:tc>
        <w:tc>
          <w:tcPr>
            <w:tcW w:w="1638" w:type="dxa"/>
          </w:tcPr>
          <w:p w14:paraId="611DEE7E"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54533416"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1581E1D8"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6A5B97D2"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09FB1E71" w14:textId="56DC48C7" w:rsidTr="00EB4D62">
        <w:tc>
          <w:tcPr>
            <w:tcW w:w="2340" w:type="dxa"/>
          </w:tcPr>
          <w:p w14:paraId="708E651C" w14:textId="5C9E4913" w:rsidR="00EB4D62" w:rsidRPr="00C30C82" w:rsidRDefault="00EB4D62" w:rsidP="00533DC0">
            <w:pPr>
              <w:jc w:val="both"/>
              <w:rPr>
                <w:rFonts w:ascii="HendersonSansW00-BasicLight" w:eastAsia="Garamond" w:hAnsi="HendersonSansW00-BasicLight" w:cs="Garamond"/>
                <w:sz w:val="12"/>
                <w:szCs w:val="12"/>
              </w:rPr>
            </w:pPr>
            <w:r w:rsidRPr="00C30C82">
              <w:rPr>
                <w:rFonts w:ascii="HendersonSansW00-BasicLight" w:eastAsia="Garamond" w:hAnsi="HendersonSansW00-BasicLight" w:cs="Garamond"/>
                <w:sz w:val="12"/>
                <w:szCs w:val="12"/>
              </w:rPr>
              <w:t>9. Experiencia en elaboración de estudios hidrogeológicos según los resultados de perforaciones realizados por el AyA.</w:t>
            </w:r>
          </w:p>
        </w:tc>
        <w:tc>
          <w:tcPr>
            <w:tcW w:w="1638" w:type="dxa"/>
          </w:tcPr>
          <w:p w14:paraId="21C9DA89"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57D17AE2"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1A640406"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5BE0CCF0" w14:textId="77777777" w:rsidR="00EB4D62" w:rsidRPr="00D13CA1" w:rsidRDefault="00EB4D62" w:rsidP="00533DC0">
            <w:pPr>
              <w:pStyle w:val="WW-Predeterminado"/>
              <w:jc w:val="center"/>
              <w:rPr>
                <w:rFonts w:ascii="HendersonSansW00-BasicLight" w:hAnsi="HendersonSansW00-BasicLight" w:cs="Arial"/>
                <w:sz w:val="12"/>
                <w:szCs w:val="12"/>
              </w:rPr>
            </w:pPr>
          </w:p>
        </w:tc>
      </w:tr>
      <w:tr w:rsidR="00EB4D62" w:rsidRPr="00D13CA1" w14:paraId="346C9B3D" w14:textId="5A22FA70" w:rsidTr="00EB4D62">
        <w:tc>
          <w:tcPr>
            <w:tcW w:w="2340" w:type="dxa"/>
          </w:tcPr>
          <w:p w14:paraId="2B9A904F" w14:textId="6A29681C" w:rsidR="00EB4D62" w:rsidRPr="00C30C82" w:rsidRDefault="00EB4D62" w:rsidP="00533DC0">
            <w:pPr>
              <w:jc w:val="both"/>
              <w:rPr>
                <w:rFonts w:ascii="HendersonSansW00-BasicLight" w:eastAsia="Garamond" w:hAnsi="HendersonSansW00-BasicLight" w:cs="Garamond"/>
                <w:sz w:val="12"/>
                <w:szCs w:val="12"/>
              </w:rPr>
            </w:pPr>
            <w:r w:rsidRPr="00C30C82">
              <w:rPr>
                <w:rFonts w:ascii="HendersonSansW00-BasicLight" w:eastAsia="Garamond" w:hAnsi="HendersonSansW00-BasicLight" w:cs="Garamond"/>
                <w:sz w:val="12"/>
                <w:szCs w:val="12"/>
              </w:rPr>
              <w:t>10. Experiencia en elaboración de Estudios de Impacto Ambiental de proyectos de acueductos, identificando impactos del proyecto y las medidas de intervención con sus respectivos costos.</w:t>
            </w:r>
          </w:p>
        </w:tc>
        <w:tc>
          <w:tcPr>
            <w:tcW w:w="1638" w:type="dxa"/>
          </w:tcPr>
          <w:p w14:paraId="639EF97E"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71" w:type="dxa"/>
          </w:tcPr>
          <w:p w14:paraId="64D64BF6"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664" w:type="dxa"/>
          </w:tcPr>
          <w:p w14:paraId="0C2CF982" w14:textId="77777777" w:rsidR="00EB4D62" w:rsidRPr="00D13CA1" w:rsidRDefault="00EB4D62" w:rsidP="00533DC0">
            <w:pPr>
              <w:pStyle w:val="WW-Predeterminado"/>
              <w:jc w:val="center"/>
              <w:rPr>
                <w:rFonts w:ascii="HendersonSansW00-BasicLight" w:hAnsi="HendersonSansW00-BasicLight" w:cs="Arial"/>
                <w:sz w:val="12"/>
                <w:szCs w:val="12"/>
              </w:rPr>
            </w:pPr>
          </w:p>
        </w:tc>
        <w:tc>
          <w:tcPr>
            <w:tcW w:w="1515" w:type="dxa"/>
          </w:tcPr>
          <w:p w14:paraId="0AEE8012" w14:textId="77777777" w:rsidR="00EB4D62" w:rsidRPr="00D13CA1" w:rsidRDefault="00EB4D62" w:rsidP="00533DC0">
            <w:pPr>
              <w:pStyle w:val="WW-Predeterminado"/>
              <w:jc w:val="center"/>
              <w:rPr>
                <w:rFonts w:ascii="HendersonSansW00-BasicLight" w:hAnsi="HendersonSansW00-BasicLight" w:cs="Arial"/>
                <w:sz w:val="12"/>
                <w:szCs w:val="12"/>
              </w:rPr>
            </w:pPr>
          </w:p>
        </w:tc>
      </w:tr>
    </w:tbl>
    <w:p w14:paraId="24828CDA" w14:textId="77777777" w:rsidR="005D0C13" w:rsidRPr="00C85C82" w:rsidRDefault="005D0C13" w:rsidP="00533DC0">
      <w:pPr>
        <w:pStyle w:val="WW-Predeterminado"/>
        <w:jc w:val="center"/>
        <w:rPr>
          <w:rFonts w:ascii="HendersonSansW00-BasicLight" w:hAnsi="HendersonSansW00-BasicLight" w:cs="Arial"/>
          <w:sz w:val="22"/>
          <w:szCs w:val="22"/>
        </w:rPr>
      </w:pPr>
    </w:p>
    <w:p w14:paraId="3F624DDA" w14:textId="77777777" w:rsidR="005D0C13" w:rsidRPr="00C85C82" w:rsidRDefault="005D0C13" w:rsidP="00533DC0">
      <w:pPr>
        <w:pStyle w:val="WW-Predeterminado"/>
        <w:jc w:val="both"/>
        <w:rPr>
          <w:rFonts w:ascii="HendersonSansW00-BasicLight" w:hAnsi="HendersonSansW00-BasicLight" w:cs="Arial"/>
          <w:sz w:val="22"/>
          <w:szCs w:val="22"/>
          <w:lang w:val="es-CR"/>
        </w:rPr>
      </w:pPr>
      <w:r w:rsidRPr="00C85C82">
        <w:rPr>
          <w:rFonts w:ascii="HendersonSansW00-BasicLight" w:hAnsi="HendersonSansW00-BasicLight" w:cs="Arial"/>
          <w:sz w:val="22"/>
          <w:szCs w:val="22"/>
          <w:lang w:val="es-CR"/>
        </w:rPr>
        <w:t>La calificación cualitativa del estudio fue de xxxx (excelente, muy bueno, bueno) y brindado a satisfacción de la Administración de acuerdo con las características y aspectos contratados.</w:t>
      </w:r>
    </w:p>
    <w:p w14:paraId="3951890D" w14:textId="77777777" w:rsidR="005D0C13" w:rsidRPr="00C85C82" w:rsidRDefault="005D0C13" w:rsidP="00533DC0">
      <w:pPr>
        <w:pStyle w:val="WW-Predeterminado"/>
        <w:jc w:val="both"/>
        <w:rPr>
          <w:rFonts w:ascii="HendersonSansW00-BasicLight" w:hAnsi="HendersonSansW00-BasicLight" w:cs="Arial"/>
          <w:sz w:val="22"/>
          <w:szCs w:val="22"/>
          <w:lang w:val="es-CR"/>
        </w:rPr>
      </w:pPr>
    </w:p>
    <w:p w14:paraId="08037DEF" w14:textId="77777777" w:rsidR="005D0C13" w:rsidRPr="00C85C82" w:rsidRDefault="005D0C13" w:rsidP="00533DC0">
      <w:pPr>
        <w:spacing w:line="240" w:lineRule="auto"/>
        <w:rPr>
          <w:rFonts w:ascii="HendersonSansW00-BasicLight" w:hAnsi="HendersonSansW00-BasicLight" w:cs="Arial"/>
        </w:rPr>
      </w:pPr>
      <w:r w:rsidRPr="00C85C82">
        <w:rPr>
          <w:rFonts w:ascii="HendersonSansW00-BasicLight" w:hAnsi="HendersonSansW00-BasicLight" w:cs="Arial"/>
        </w:rPr>
        <w:t>Atentamente,</w:t>
      </w:r>
    </w:p>
    <w:p w14:paraId="218D7E4A" w14:textId="77777777" w:rsidR="005D0C13" w:rsidRPr="00C85C82" w:rsidRDefault="005D0C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Nombre de quien suscribe</w:t>
      </w:r>
    </w:p>
    <w:p w14:paraId="4C32AA95" w14:textId="77777777" w:rsidR="005D0C13" w:rsidRPr="00C85C82" w:rsidRDefault="005D0C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Cargo</w:t>
      </w:r>
    </w:p>
    <w:p w14:paraId="4EC6FDD4" w14:textId="77777777" w:rsidR="005D0C13" w:rsidRPr="00C85C82" w:rsidRDefault="005D0C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 xml:space="preserve">Cédula No. xxxx </w:t>
      </w:r>
    </w:p>
    <w:p w14:paraId="430496D7" w14:textId="77777777" w:rsidR="005D0C13" w:rsidRPr="00C85C82" w:rsidRDefault="005D0C13" w:rsidP="00533DC0">
      <w:pPr>
        <w:spacing w:after="0" w:line="240" w:lineRule="auto"/>
        <w:rPr>
          <w:rFonts w:ascii="HendersonSansW00-BasicLight" w:hAnsi="HendersonSansW00-BasicLight" w:cs="Arial"/>
          <w:b/>
        </w:rPr>
      </w:pPr>
      <w:r w:rsidRPr="00C85C82">
        <w:rPr>
          <w:rFonts w:ascii="HendersonSansW00-BasicLight" w:hAnsi="HendersonSansW00-BasicLight" w:cs="Arial"/>
          <w:b/>
        </w:rPr>
        <w:t xml:space="preserve">Correo electrónico: </w:t>
      </w:r>
    </w:p>
    <w:p w14:paraId="07081DFE" w14:textId="4A5C1BA1" w:rsidR="00311A63" w:rsidRDefault="00311A63" w:rsidP="00533DC0">
      <w:pPr>
        <w:spacing w:line="240" w:lineRule="auto"/>
        <w:rPr>
          <w:rFonts w:ascii="HendersonSansW00-BasicLight" w:hAnsi="HendersonSansW00-BasicLight" w:cs="Arial"/>
          <w:b/>
        </w:rPr>
      </w:pPr>
      <w:r>
        <w:rPr>
          <w:rFonts w:ascii="HendersonSansW00-BasicLight" w:hAnsi="HendersonSansW00-BasicLight" w:cs="Arial"/>
          <w:b/>
        </w:rPr>
        <w:br w:type="page"/>
      </w:r>
    </w:p>
    <w:p w14:paraId="2FF0C10B" w14:textId="221B945E" w:rsidR="00BD55DE" w:rsidRPr="00C85C82" w:rsidRDefault="00A33DDC" w:rsidP="00533DC0">
      <w:pPr>
        <w:spacing w:after="0" w:line="240" w:lineRule="auto"/>
        <w:jc w:val="center"/>
        <w:rPr>
          <w:rFonts w:ascii="HendersonSansW00-BasicLight" w:eastAsia="Garamond" w:hAnsi="HendersonSansW00-BasicLight" w:cs="Garamond"/>
          <w:b/>
        </w:rPr>
      </w:pPr>
      <w:r w:rsidRPr="00C85C82">
        <w:rPr>
          <w:rFonts w:ascii="HendersonSansW00-BasicLight" w:eastAsia="Garamond" w:hAnsi="HendersonSansW00-BasicLight" w:cs="Garamond"/>
          <w:b/>
        </w:rPr>
        <w:lastRenderedPageBreak/>
        <w:t>ANEXO No. 3</w:t>
      </w:r>
    </w:p>
    <w:p w14:paraId="422A96FE" w14:textId="77777777" w:rsidR="00BD55DE" w:rsidRDefault="00A33DDC" w:rsidP="00533DC0">
      <w:pPr>
        <w:spacing w:before="120" w:after="120" w:line="240" w:lineRule="auto"/>
        <w:jc w:val="center"/>
        <w:rPr>
          <w:rFonts w:ascii="HendersonSansW00-BasicLight" w:eastAsia="Garamond" w:hAnsi="HendersonSansW00-BasicLight" w:cs="Garamond"/>
          <w:b/>
        </w:rPr>
      </w:pPr>
      <w:r w:rsidRPr="003C0FAF">
        <w:rPr>
          <w:rFonts w:ascii="HendersonSansW00-BasicLight" w:eastAsia="Garamond" w:hAnsi="HendersonSansW00-BasicLight" w:cs="Garamond"/>
          <w:b/>
        </w:rPr>
        <w:t>METODOLOGÍA PARA LA DECLARACIÓN DE ELEGIBILIDAD DE</w:t>
      </w:r>
      <w:r w:rsidRPr="00C85C82">
        <w:rPr>
          <w:rFonts w:ascii="HendersonSansW00-BasicLight" w:eastAsia="Garamond" w:hAnsi="HendersonSansW00-BasicLight" w:cs="Garamond"/>
          <w:b/>
        </w:rPr>
        <w:t xml:space="preserve"> LOS CONSULTORES</w:t>
      </w:r>
    </w:p>
    <w:p w14:paraId="60D86C2A" w14:textId="77777777" w:rsidR="004F689E" w:rsidRPr="00C85C82" w:rsidRDefault="004F689E" w:rsidP="00533DC0">
      <w:pPr>
        <w:spacing w:before="120" w:after="120" w:line="240" w:lineRule="auto"/>
        <w:jc w:val="center"/>
        <w:rPr>
          <w:rFonts w:ascii="HendersonSansW00-BasicLight" w:eastAsia="Garamond" w:hAnsi="HendersonSansW00-BasicLight" w:cs="Garamond"/>
          <w:b/>
        </w:rPr>
      </w:pPr>
    </w:p>
    <w:p w14:paraId="35B742BB" w14:textId="77777777" w:rsidR="003F00DA" w:rsidRPr="00C85C82" w:rsidRDefault="003F00DA" w:rsidP="003F00DA">
      <w:pPr>
        <w:spacing w:before="120" w:after="120" w:line="240" w:lineRule="auto"/>
        <w:jc w:val="center"/>
        <w:rPr>
          <w:rFonts w:ascii="HendersonSansW00-BasicLight" w:eastAsia="Garamond" w:hAnsi="HendersonSansW00-BasicLight" w:cs="Garamond"/>
          <w:b/>
        </w:rPr>
      </w:pPr>
    </w:p>
    <w:p w14:paraId="5287D3EE" w14:textId="77777777" w:rsidR="003F00DA" w:rsidRPr="00C85C82" w:rsidRDefault="003F00DA" w:rsidP="003F00DA">
      <w:pPr>
        <w:numPr>
          <w:ilvl w:val="0"/>
          <w:numId w:val="11"/>
        </w:numPr>
        <w:spacing w:before="120" w:after="0" w:line="240" w:lineRule="auto"/>
        <w:ind w:left="360"/>
        <w:jc w:val="both"/>
        <w:rPr>
          <w:rFonts w:ascii="HendersonSansW00-BasicLight" w:eastAsia="Garamond" w:hAnsi="HendersonSansW00-BasicLight" w:cs="Garamond"/>
          <w:b/>
        </w:rPr>
      </w:pPr>
      <w:r>
        <w:rPr>
          <w:rFonts w:ascii="HendersonSansW00-BasicLight" w:eastAsia="Garamond" w:hAnsi="HendersonSansW00-BasicLight" w:cs="Garamond"/>
          <w:b/>
        </w:rPr>
        <w:t>EVALUACIÓN DE PROPUESTAS</w:t>
      </w:r>
    </w:p>
    <w:p w14:paraId="3FDA2B13" w14:textId="77777777" w:rsidR="003F00DA" w:rsidRPr="00C85C82" w:rsidRDefault="003F00DA" w:rsidP="003F00DA">
      <w:pPr>
        <w:pBdr>
          <w:top w:val="nil"/>
          <w:left w:val="nil"/>
          <w:bottom w:val="nil"/>
          <w:right w:val="nil"/>
          <w:between w:val="nil"/>
        </w:pBd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En esta sección se presenta la metodología que utilizará la </w:t>
      </w:r>
      <w:r>
        <w:rPr>
          <w:rFonts w:ascii="HendersonSansW00-BasicLight" w:eastAsia="Garamond" w:hAnsi="HendersonSansW00-BasicLight" w:cs="Garamond"/>
          <w:b/>
        </w:rPr>
        <w:t>ADMINISTRACIÓN</w:t>
      </w:r>
      <w:r>
        <w:rPr>
          <w:rFonts w:ascii="HendersonSansW00-BasicLight" w:eastAsia="Garamond" w:hAnsi="HendersonSansW00-BasicLight" w:cs="Garamond"/>
        </w:rPr>
        <w:t xml:space="preserve">, a través de la </w:t>
      </w:r>
      <w:r>
        <w:rPr>
          <w:rFonts w:ascii="HendersonSansW00-BasicLight" w:eastAsia="Garamond" w:hAnsi="HendersonSansW00-BasicLight" w:cs="Garamond"/>
          <w:b/>
        </w:rPr>
        <w:t>COMISIÓN CALIFICADORA</w:t>
      </w:r>
      <w:r>
        <w:rPr>
          <w:rFonts w:ascii="HendersonSansW00-BasicLight" w:eastAsia="Garamond" w:hAnsi="HendersonSansW00-BasicLight" w:cs="Garamond"/>
        </w:rPr>
        <w:t xml:space="preserve">, para definir la condición de elegible de las firmas participantes. </w:t>
      </w:r>
    </w:p>
    <w:p w14:paraId="2FB35B09" w14:textId="77777777" w:rsidR="003F00DA" w:rsidRPr="00C85C82" w:rsidRDefault="003F00DA" w:rsidP="003F00DA">
      <w:pPr>
        <w:pBdr>
          <w:top w:val="nil"/>
          <w:left w:val="nil"/>
          <w:bottom w:val="nil"/>
          <w:right w:val="nil"/>
          <w:between w:val="nil"/>
        </w:pBd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La presente metodología de calificación normalizada tiene como objetivo facilitar el análisis de la información que presenten el </w:t>
      </w:r>
      <w:r>
        <w:rPr>
          <w:rFonts w:ascii="HendersonSansW00-BasicLight" w:eastAsia="Garamond" w:hAnsi="HendersonSansW00-BasicLight" w:cs="Garamond"/>
          <w:b/>
        </w:rPr>
        <w:t xml:space="preserve">OFERENTE </w:t>
      </w:r>
      <w:r>
        <w:rPr>
          <w:rFonts w:ascii="HendersonSansW00-BasicLight" w:eastAsia="Garamond" w:hAnsi="HendersonSansW00-BasicLight" w:cs="Garamond"/>
        </w:rPr>
        <w:t>interesado.</w:t>
      </w:r>
    </w:p>
    <w:p w14:paraId="0EB827AA" w14:textId="77777777" w:rsidR="003F00DA" w:rsidRDefault="003F00DA" w:rsidP="003F00DA">
      <w:pP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Asimismo, permite calificar al </w:t>
      </w:r>
      <w:r>
        <w:rPr>
          <w:rFonts w:ascii="HendersonSansW00-BasicLight" w:eastAsia="Garamond" w:hAnsi="HendersonSansW00-BasicLight" w:cs="Garamond"/>
          <w:b/>
        </w:rPr>
        <w:t>OFERENTE</w:t>
      </w:r>
      <w:r>
        <w:rPr>
          <w:rFonts w:ascii="HendersonSansW00-BasicLight" w:eastAsia="Garamond" w:hAnsi="HendersonSansW00-BasicLight" w:cs="Garamond"/>
        </w:rPr>
        <w:t xml:space="preserve"> sobre una base de argumentos y criterios de aplicación uniforme y estandarizada, para garantizar la transparencia del proceso de selección.  Por otra parte, esta metodología le permite al </w:t>
      </w:r>
      <w:r>
        <w:rPr>
          <w:rFonts w:ascii="HendersonSansW00-BasicLight" w:eastAsia="Garamond" w:hAnsi="HendersonSansW00-BasicLight" w:cs="Garamond"/>
          <w:b/>
        </w:rPr>
        <w:t>FONDO</w:t>
      </w:r>
      <w:r>
        <w:rPr>
          <w:rFonts w:ascii="HendersonSansW00-BasicLight" w:eastAsia="Garamond" w:hAnsi="HendersonSansW00-BasicLight" w:cs="Garamond"/>
        </w:rPr>
        <w:t xml:space="preserve"> ejercer la función de supervisión de esta etapa del Concurso.</w:t>
      </w:r>
    </w:p>
    <w:p w14:paraId="49D64B7F" w14:textId="77777777" w:rsidR="003F00DA" w:rsidRPr="00C85C82" w:rsidRDefault="003F00DA" w:rsidP="003F00DA">
      <w:pPr>
        <w:spacing w:before="120" w:after="120" w:line="240" w:lineRule="auto"/>
        <w:jc w:val="both"/>
        <w:rPr>
          <w:rFonts w:ascii="HendersonSansW00-BasicLight" w:eastAsia="Garamond" w:hAnsi="HendersonSansW00-BasicLight" w:cs="Garamond"/>
        </w:rPr>
      </w:pPr>
    </w:p>
    <w:p w14:paraId="3D1B1D74" w14:textId="77777777" w:rsidR="003F00DA" w:rsidRPr="00C85C82" w:rsidRDefault="003F00DA" w:rsidP="003F00DA">
      <w:pPr>
        <w:spacing w:before="120" w:after="120" w:line="240" w:lineRule="auto"/>
        <w:jc w:val="both"/>
        <w:rPr>
          <w:rFonts w:ascii="HendersonSansW00-BasicLight" w:eastAsia="Garamond" w:hAnsi="HendersonSansW00-BasicLight" w:cs="Garamond"/>
          <w:b/>
        </w:rPr>
      </w:pPr>
      <w:r>
        <w:rPr>
          <w:rFonts w:ascii="HendersonSansW00-BasicLight" w:eastAsia="Garamond" w:hAnsi="HendersonSansW00-BasicLight" w:cs="Garamond"/>
          <w:b/>
        </w:rPr>
        <w:t>2. ANÁLISIS Y VALORACIÓN DE LOS ANTECEDENTES</w:t>
      </w:r>
    </w:p>
    <w:p w14:paraId="5445CE92" w14:textId="77777777" w:rsidR="003F00DA" w:rsidRPr="00C85C82" w:rsidRDefault="003F00DA" w:rsidP="003F00DA">
      <w:pPr>
        <w:spacing w:before="120"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De forma previa a la evaluación de la </w:t>
      </w:r>
      <w:r>
        <w:rPr>
          <w:rFonts w:ascii="HendersonSansW00-BasicLight" w:eastAsia="Garamond" w:hAnsi="HendersonSansW00-BasicLight" w:cs="Garamond"/>
          <w:b/>
        </w:rPr>
        <w:t>COMISIÓN CALIFICADORA</w:t>
      </w:r>
      <w:r>
        <w:rPr>
          <w:rFonts w:ascii="HendersonSansW00-BasicLight" w:eastAsia="Garamond" w:hAnsi="HendersonSansW00-BasicLight" w:cs="Garamond"/>
        </w:rPr>
        <w:t xml:space="preserve">, la documentación presentada por cada </w:t>
      </w:r>
      <w:r>
        <w:rPr>
          <w:rFonts w:ascii="HendersonSansW00-BasicLight" w:eastAsia="Garamond" w:hAnsi="HendersonSansW00-BasicLight" w:cs="Garamond"/>
          <w:b/>
        </w:rPr>
        <w:t>OFERENTE</w:t>
      </w:r>
      <w:r>
        <w:rPr>
          <w:rFonts w:ascii="HendersonSansW00-BasicLight" w:eastAsia="Garamond" w:hAnsi="HendersonSansW00-BasicLight" w:cs="Garamond"/>
        </w:rPr>
        <w:t xml:space="preserve"> será analizada por la </w:t>
      </w:r>
      <w:r>
        <w:rPr>
          <w:rFonts w:ascii="HendersonSansW00-BasicLight" w:eastAsia="Garamond" w:hAnsi="HendersonSansW00-BasicLight" w:cs="Garamond"/>
          <w:b/>
        </w:rPr>
        <w:t xml:space="preserve">ADMINISTRACIÓN </w:t>
      </w:r>
      <w:r>
        <w:rPr>
          <w:rFonts w:ascii="HendersonSansW00-BasicLight" w:eastAsia="Garamond" w:hAnsi="HendersonSansW00-BasicLight" w:cs="Garamond"/>
        </w:rPr>
        <w:t xml:space="preserve">para la verificación del cumplimiento de los requisitos solicitados en el </w:t>
      </w:r>
      <w:r>
        <w:rPr>
          <w:rFonts w:ascii="HendersonSansW00-BasicLight" w:eastAsia="Garamond" w:hAnsi="HendersonSansW00-BasicLight" w:cs="Garamond"/>
          <w:b/>
        </w:rPr>
        <w:t>CARTEL</w:t>
      </w:r>
      <w:r>
        <w:rPr>
          <w:rFonts w:ascii="HendersonSansW00-BasicLight" w:eastAsia="Garamond" w:hAnsi="HendersonSansW00-BasicLight" w:cs="Garamond"/>
        </w:rPr>
        <w:t xml:space="preserve"> y su idoneidad para ser evaluada.</w:t>
      </w:r>
    </w:p>
    <w:p w14:paraId="1512924E" w14:textId="77777777" w:rsidR="003F00DA" w:rsidRPr="00C85C82" w:rsidRDefault="003F00DA" w:rsidP="003F00DA">
      <w:pPr>
        <w:spacing w:after="0" w:line="240" w:lineRule="auto"/>
        <w:jc w:val="both"/>
        <w:rPr>
          <w:rFonts w:ascii="HendersonSansW00-BasicLight" w:eastAsia="Garamond" w:hAnsi="HendersonSansW00-BasicLight" w:cs="Garamond"/>
        </w:rPr>
      </w:pPr>
    </w:p>
    <w:p w14:paraId="048376F5" w14:textId="77777777" w:rsidR="003F00DA" w:rsidRPr="00C85C82"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El análisis y evaluación de las ofertas técnicas será realizado por la </w:t>
      </w:r>
      <w:r>
        <w:rPr>
          <w:rFonts w:ascii="HendersonSansW00-BasicLight" w:eastAsia="Garamond" w:hAnsi="HendersonSansW00-BasicLight" w:cs="Garamond"/>
          <w:b/>
        </w:rPr>
        <w:t>ADMINISTRACIÓN</w:t>
      </w:r>
      <w:r>
        <w:rPr>
          <w:rFonts w:ascii="HendersonSansW00-BasicLight" w:eastAsia="Garamond" w:hAnsi="HendersonSansW00-BasicLight" w:cs="Garamond"/>
        </w:rPr>
        <w:t xml:space="preserve"> a través de la </w:t>
      </w:r>
      <w:r>
        <w:rPr>
          <w:rFonts w:ascii="HendersonSansW00-BasicLight" w:eastAsia="Garamond" w:hAnsi="HendersonSansW00-BasicLight" w:cs="Garamond"/>
          <w:b/>
        </w:rPr>
        <w:t>COMISIÓN CALIFICADORA</w:t>
      </w:r>
      <w:r>
        <w:rPr>
          <w:rFonts w:ascii="HendersonSansW00-BasicLight" w:eastAsia="Garamond" w:hAnsi="HendersonSansW00-BasicLight" w:cs="Garamond"/>
        </w:rPr>
        <w:t xml:space="preserve">. </w:t>
      </w:r>
    </w:p>
    <w:p w14:paraId="42774675" w14:textId="77777777" w:rsidR="003F00DA" w:rsidRPr="00C85C82" w:rsidRDefault="003F00DA" w:rsidP="003F00DA">
      <w:pPr>
        <w:spacing w:after="0" w:line="240" w:lineRule="auto"/>
        <w:jc w:val="both"/>
        <w:rPr>
          <w:rFonts w:ascii="HendersonSansW00-BasicLight" w:eastAsia="Garamond" w:hAnsi="HendersonSansW00-BasicLight" w:cs="Garamond"/>
        </w:rPr>
      </w:pPr>
    </w:p>
    <w:p w14:paraId="74D6CBD8" w14:textId="77777777" w:rsidR="003F00DA" w:rsidRPr="00C85C82"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Para el caso de ofertas en consorcio se unirá la información que es sometida a evaluación y se tomará como una sola, aun cuando la información sea presentada por separado; exceptuando la experiencia profesional, donde únicamente se tomará en cuenta la experiencia de la firma consorciada con mayor cantidad de años trabajando en el campo de estudio.</w:t>
      </w:r>
    </w:p>
    <w:p w14:paraId="6F571966" w14:textId="77777777" w:rsidR="003F00DA" w:rsidRPr="00C85C82"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 </w:t>
      </w:r>
    </w:p>
    <w:p w14:paraId="7B7648AD" w14:textId="77777777" w:rsidR="003F00DA" w:rsidRPr="00C85C82" w:rsidRDefault="003F00DA" w:rsidP="003F00DA">
      <w:pPr>
        <w:spacing w:before="120" w:after="0" w:line="240" w:lineRule="auto"/>
        <w:jc w:val="both"/>
        <w:rPr>
          <w:rFonts w:ascii="HendersonSansW00-BasicLight" w:eastAsia="Garamond" w:hAnsi="HendersonSansW00-BasicLight" w:cs="Garamond"/>
          <w:b/>
        </w:rPr>
      </w:pPr>
      <w:r>
        <w:rPr>
          <w:rFonts w:ascii="HendersonSansW00-BasicLight" w:eastAsia="Garamond" w:hAnsi="HendersonSansW00-BasicLight" w:cs="Garamond"/>
          <w:b/>
        </w:rPr>
        <w:t>3. CRITERIOS DE EVALUACIÓN Y TABLAS DE CALIFICACIÓN</w:t>
      </w:r>
    </w:p>
    <w:p w14:paraId="03CF00F9"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37650821" w14:textId="77777777" w:rsidR="003F00DA" w:rsidRPr="00C85C82"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Se utilizarán los siguientes criterios de evaluación:</w:t>
      </w:r>
    </w:p>
    <w:p w14:paraId="39F5B241" w14:textId="77777777" w:rsidR="003F00DA" w:rsidRPr="00C85C82"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21C44068" w14:textId="77777777" w:rsidR="003F00DA" w:rsidRPr="00C85C82" w:rsidRDefault="003F00DA" w:rsidP="003F00DA">
      <w:pPr>
        <w:numPr>
          <w:ilvl w:val="0"/>
          <w:numId w:val="10"/>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Experiencia documentada en la realización de estudios relacionados a los estudios de referencia (60 puntos).</w:t>
      </w:r>
    </w:p>
    <w:p w14:paraId="00E792A1" w14:textId="77777777" w:rsidR="003F00DA" w:rsidRDefault="003F00DA" w:rsidP="003F00DA">
      <w:pPr>
        <w:numPr>
          <w:ilvl w:val="0"/>
          <w:numId w:val="10"/>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Experiencia en competencias específicas (40 puntos).</w:t>
      </w:r>
    </w:p>
    <w:p w14:paraId="4EF0CA7B" w14:textId="77777777" w:rsidR="003F00DA" w:rsidRDefault="003F00DA" w:rsidP="003F00DA">
      <w:pPr>
        <w:spacing w:after="0" w:line="240" w:lineRule="auto"/>
        <w:jc w:val="both"/>
        <w:rPr>
          <w:rFonts w:ascii="HendersonSansW00-BasicLight" w:eastAsia="Garamond" w:hAnsi="HendersonSansW00-BasicLight" w:cs="Garamond"/>
        </w:rPr>
      </w:pPr>
    </w:p>
    <w:p w14:paraId="0694C008" w14:textId="77777777" w:rsidR="003F00DA" w:rsidRPr="00C85C82" w:rsidRDefault="003F00DA" w:rsidP="003F00DA">
      <w:pPr>
        <w:numPr>
          <w:ilvl w:val="0"/>
          <w:numId w:val="6"/>
        </w:num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b/>
        </w:rPr>
        <w:t>Experiencia documentada en la realización de estudios relacionados a los términos de referencia.  (60 puntos).</w:t>
      </w:r>
    </w:p>
    <w:p w14:paraId="1397AEB4" w14:textId="77777777" w:rsidR="003F00DA" w:rsidRPr="00C85C82" w:rsidRDefault="003F00DA" w:rsidP="003F00DA">
      <w:pPr>
        <w:spacing w:after="120" w:line="240" w:lineRule="auto"/>
        <w:jc w:val="both"/>
        <w:rPr>
          <w:rFonts w:ascii="HendersonSansW00-BasicLight" w:eastAsia="Garamond" w:hAnsi="HendersonSansW00-BasicLight" w:cs="Garamond"/>
          <w:b/>
        </w:rPr>
      </w:pPr>
    </w:p>
    <w:p w14:paraId="3D15E0EB" w14:textId="77777777" w:rsidR="003F00DA" w:rsidRPr="00C85C82" w:rsidRDefault="003F00DA" w:rsidP="003F00DA">
      <w:pPr>
        <w:spacing w:after="120" w:line="240" w:lineRule="auto"/>
        <w:jc w:val="both"/>
        <w:rPr>
          <w:rFonts w:ascii="HendersonSansW00-BasicLight" w:eastAsia="Garamond" w:hAnsi="HendersonSansW00-BasicLight" w:cs="Garamond"/>
          <w:b/>
        </w:rPr>
      </w:pPr>
      <w:r>
        <w:rPr>
          <w:rFonts w:ascii="HendersonSansW00-BasicLight" w:eastAsia="Garamond" w:hAnsi="HendersonSansW00-BasicLight" w:cs="Garamond"/>
        </w:rPr>
        <w:t xml:space="preserve">El </w:t>
      </w:r>
      <w:r>
        <w:rPr>
          <w:rFonts w:ascii="HendersonSansW00-BasicLight" w:eastAsia="Garamond" w:hAnsi="HendersonSansW00-BasicLight" w:cs="Garamond"/>
          <w:b/>
        </w:rPr>
        <w:t xml:space="preserve">OFERENTE </w:t>
      </w:r>
      <w:r>
        <w:rPr>
          <w:rFonts w:ascii="HendersonSansW00-BasicLight" w:eastAsia="Garamond" w:hAnsi="HendersonSansW00-BasicLight" w:cs="Garamond"/>
        </w:rPr>
        <w:t xml:space="preserve">deberá aportar una Constancia o Certificación de la experiencia emitida por el beneficiario del estudio, mediante la </w:t>
      </w:r>
      <w:r>
        <w:rPr>
          <w:rFonts w:ascii="HendersonSansW00-BasicLight" w:eastAsia="Garamond" w:hAnsi="HendersonSansW00-BasicLight" w:cs="Garamond"/>
          <w:b/>
        </w:rPr>
        <w:t>Tabla 1a FORMATO DE CERTIFICACION DE EXPERIENCIA.</w:t>
      </w:r>
    </w:p>
    <w:p w14:paraId="0B6273B0" w14:textId="77777777" w:rsidR="003F00DA" w:rsidRDefault="003F00DA" w:rsidP="003F00DA">
      <w:pPr>
        <w:spacing w:after="0" w:line="240" w:lineRule="auto"/>
        <w:jc w:val="both"/>
        <w:rPr>
          <w:rFonts w:ascii="HendersonSansW00-BasicLight" w:eastAsia="Garamond" w:hAnsi="HendersonSansW00-BasicLight" w:cs="Garamond"/>
        </w:rPr>
      </w:pPr>
    </w:p>
    <w:p w14:paraId="5AFCD205" w14:textId="77777777" w:rsidR="003F00DA" w:rsidRPr="00C30C82"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Se evaluará la experiencia del </w:t>
      </w:r>
      <w:r>
        <w:rPr>
          <w:rFonts w:ascii="HendersonSansW00-BasicLight" w:eastAsia="Garamond" w:hAnsi="HendersonSansW00-BasicLight" w:cs="Garamond"/>
          <w:b/>
        </w:rPr>
        <w:t>OFERENTE</w:t>
      </w:r>
      <w:r>
        <w:rPr>
          <w:rFonts w:ascii="HendersonSansW00-BasicLight" w:eastAsia="Garamond" w:hAnsi="HendersonSansW00-BasicLight" w:cs="Garamond"/>
        </w:rPr>
        <w:t xml:space="preserve"> mediante los estudios concluidos realizados por la firma consultora o consorcio relacionados con contratos similares. </w:t>
      </w:r>
    </w:p>
    <w:p w14:paraId="3011F4AA" w14:textId="77777777" w:rsidR="003F00DA" w:rsidRPr="00C30C82" w:rsidRDefault="003F00DA" w:rsidP="003F00DA">
      <w:pPr>
        <w:spacing w:after="0" w:line="240" w:lineRule="auto"/>
        <w:jc w:val="both"/>
        <w:rPr>
          <w:rFonts w:ascii="HendersonSansW00-BasicLight" w:eastAsia="Garamond" w:hAnsi="HendersonSansW00-BasicLight" w:cs="Garamond"/>
        </w:rPr>
      </w:pPr>
    </w:p>
    <w:p w14:paraId="3BE3F859" w14:textId="77777777" w:rsidR="003F00DA"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b/>
          <w:bCs/>
        </w:rPr>
        <w:t>a.1) Estudios Técnicos (20 puntos)</w:t>
      </w:r>
      <w:r>
        <w:rPr>
          <w:rFonts w:ascii="HendersonSansW00-BasicLight" w:eastAsia="Garamond" w:hAnsi="HendersonSansW00-BasicLight" w:cs="Garamond"/>
        </w:rPr>
        <w:t>: la firma consultora o consorcio deberá aportar al menos tres estudios diferentes relacionados con la determinación de las características generales de los sistemas de abastecimiento de agua potable y que hayan sido avalados por el AyA según el tipo de obras.</w:t>
      </w:r>
    </w:p>
    <w:p w14:paraId="33BB38F6" w14:textId="77777777" w:rsidR="003F00DA" w:rsidRDefault="003F00DA" w:rsidP="003F00DA">
      <w:pPr>
        <w:spacing w:after="0" w:line="240" w:lineRule="auto"/>
        <w:jc w:val="both"/>
        <w:rPr>
          <w:rFonts w:ascii="HendersonSansW00-BasicLight" w:eastAsia="Garamond" w:hAnsi="HendersonSansW00-BasicLight" w:cs="Garamond"/>
        </w:rPr>
      </w:pPr>
    </w:p>
    <w:tbl>
      <w:tblPr>
        <w:tblStyle w:val="Tablaconcuadrcula"/>
        <w:tblW w:w="0" w:type="auto"/>
        <w:tblInd w:w="2405" w:type="dxa"/>
        <w:tblLook w:val="04A0" w:firstRow="1" w:lastRow="0" w:firstColumn="1" w:lastColumn="0" w:noHBand="0" w:noVBand="1"/>
      </w:tblPr>
      <w:tblGrid>
        <w:gridCol w:w="2009"/>
        <w:gridCol w:w="1110"/>
      </w:tblGrid>
      <w:tr w:rsidR="003F00DA" w14:paraId="17F86B4D" w14:textId="77777777" w:rsidTr="00277338">
        <w:tc>
          <w:tcPr>
            <w:tcW w:w="2009" w:type="dxa"/>
          </w:tcPr>
          <w:p w14:paraId="30850BE9"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Número de estudios</w:t>
            </w:r>
          </w:p>
        </w:tc>
        <w:tc>
          <w:tcPr>
            <w:tcW w:w="1110" w:type="dxa"/>
          </w:tcPr>
          <w:p w14:paraId="7B26BB9D"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Puntos</w:t>
            </w:r>
          </w:p>
        </w:tc>
      </w:tr>
      <w:tr w:rsidR="003F00DA" w14:paraId="476EDF14" w14:textId="77777777" w:rsidTr="00277338">
        <w:tc>
          <w:tcPr>
            <w:tcW w:w="2009" w:type="dxa"/>
          </w:tcPr>
          <w:p w14:paraId="303926CA"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10 o más</w:t>
            </w:r>
          </w:p>
        </w:tc>
        <w:tc>
          <w:tcPr>
            <w:tcW w:w="1110" w:type="dxa"/>
          </w:tcPr>
          <w:p w14:paraId="1B91E79B"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20</w:t>
            </w:r>
          </w:p>
        </w:tc>
      </w:tr>
      <w:tr w:rsidR="003F00DA" w14:paraId="0369D090" w14:textId="77777777" w:rsidTr="00277338">
        <w:tc>
          <w:tcPr>
            <w:tcW w:w="2009" w:type="dxa"/>
          </w:tcPr>
          <w:p w14:paraId="0370DDD5"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7 a 9</w:t>
            </w:r>
          </w:p>
        </w:tc>
        <w:tc>
          <w:tcPr>
            <w:tcW w:w="1110" w:type="dxa"/>
          </w:tcPr>
          <w:p w14:paraId="1BFAE682"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18</w:t>
            </w:r>
          </w:p>
        </w:tc>
      </w:tr>
      <w:tr w:rsidR="003F00DA" w14:paraId="650590D9" w14:textId="77777777" w:rsidTr="00277338">
        <w:tc>
          <w:tcPr>
            <w:tcW w:w="2009" w:type="dxa"/>
          </w:tcPr>
          <w:p w14:paraId="0D72D4CB"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4 a 6</w:t>
            </w:r>
          </w:p>
        </w:tc>
        <w:tc>
          <w:tcPr>
            <w:tcW w:w="1110" w:type="dxa"/>
          </w:tcPr>
          <w:p w14:paraId="095A373B"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14</w:t>
            </w:r>
          </w:p>
        </w:tc>
      </w:tr>
      <w:tr w:rsidR="003F00DA" w14:paraId="4C779EC1" w14:textId="77777777" w:rsidTr="00277338">
        <w:tc>
          <w:tcPr>
            <w:tcW w:w="2009" w:type="dxa"/>
          </w:tcPr>
          <w:p w14:paraId="2192BA70"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3</w:t>
            </w:r>
          </w:p>
        </w:tc>
        <w:tc>
          <w:tcPr>
            <w:tcW w:w="1110" w:type="dxa"/>
          </w:tcPr>
          <w:p w14:paraId="150719DB"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10</w:t>
            </w:r>
          </w:p>
        </w:tc>
      </w:tr>
    </w:tbl>
    <w:p w14:paraId="241234CC" w14:textId="77777777" w:rsidR="003F00DA" w:rsidRPr="00C30C82" w:rsidRDefault="003F00DA" w:rsidP="003F00DA">
      <w:pPr>
        <w:spacing w:line="240" w:lineRule="auto"/>
        <w:rPr>
          <w:rFonts w:ascii="HendersonSansW00-BasicLight" w:eastAsia="Garamond" w:hAnsi="HendersonSansW00-BasicLight" w:cs="Garamond"/>
          <w:b/>
          <w:bCs/>
        </w:rPr>
      </w:pPr>
    </w:p>
    <w:p w14:paraId="6980320D" w14:textId="77777777" w:rsidR="003F00DA" w:rsidRDefault="003F00DA" w:rsidP="003F00DA">
      <w:pPr>
        <w:spacing w:line="240" w:lineRule="auto"/>
        <w:jc w:val="both"/>
        <w:rPr>
          <w:rFonts w:ascii="HendersonSansW00-BasicLight" w:eastAsia="Garamond" w:hAnsi="HendersonSansW00-BasicLight" w:cs="Garamond"/>
        </w:rPr>
      </w:pPr>
      <w:r>
        <w:rPr>
          <w:rFonts w:ascii="HendersonSansW00-BasicLight" w:eastAsia="Garamond" w:hAnsi="HendersonSansW00-BasicLight" w:cs="Garamond"/>
          <w:b/>
          <w:bCs/>
        </w:rPr>
        <w:t>a.2) Estudios de Impacto Ambiental (20 puntos):</w:t>
      </w:r>
      <w:r>
        <w:rPr>
          <w:rFonts w:ascii="HendersonSansW00-BasicLight" w:eastAsia="Garamond" w:hAnsi="HendersonSansW00-BasicLight" w:cs="Garamond"/>
        </w:rPr>
        <w:t xml:space="preserve"> la firma consultora o consorcio deberá aportar al menos tres estudios diferentes relacionados con el análisis o la evaluación de impacto ambiental de sistemas de abastecimiento de agua potable, así como las medidas de intervención que los impactos requerirían y sus respectivos costos. </w:t>
      </w:r>
    </w:p>
    <w:tbl>
      <w:tblPr>
        <w:tblStyle w:val="Tablaconcuadrcula"/>
        <w:tblW w:w="0" w:type="auto"/>
        <w:tblInd w:w="2405" w:type="dxa"/>
        <w:tblLook w:val="04A0" w:firstRow="1" w:lastRow="0" w:firstColumn="1" w:lastColumn="0" w:noHBand="0" w:noVBand="1"/>
      </w:tblPr>
      <w:tblGrid>
        <w:gridCol w:w="2009"/>
        <w:gridCol w:w="1110"/>
      </w:tblGrid>
      <w:tr w:rsidR="003F00DA" w14:paraId="497CA298" w14:textId="77777777" w:rsidTr="00277338">
        <w:tc>
          <w:tcPr>
            <w:tcW w:w="2009" w:type="dxa"/>
          </w:tcPr>
          <w:p w14:paraId="760D028C"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Número de estudios</w:t>
            </w:r>
          </w:p>
        </w:tc>
        <w:tc>
          <w:tcPr>
            <w:tcW w:w="1110" w:type="dxa"/>
          </w:tcPr>
          <w:p w14:paraId="6C27AF4A"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Puntos</w:t>
            </w:r>
          </w:p>
        </w:tc>
      </w:tr>
      <w:tr w:rsidR="003F00DA" w14:paraId="0716D3A6" w14:textId="77777777" w:rsidTr="00277338">
        <w:tc>
          <w:tcPr>
            <w:tcW w:w="2009" w:type="dxa"/>
          </w:tcPr>
          <w:p w14:paraId="4D766CAC"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10 o más</w:t>
            </w:r>
          </w:p>
        </w:tc>
        <w:tc>
          <w:tcPr>
            <w:tcW w:w="1110" w:type="dxa"/>
          </w:tcPr>
          <w:p w14:paraId="5333D8F3"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20</w:t>
            </w:r>
          </w:p>
        </w:tc>
      </w:tr>
      <w:tr w:rsidR="003F00DA" w14:paraId="3CEAB7DB" w14:textId="77777777" w:rsidTr="00277338">
        <w:tc>
          <w:tcPr>
            <w:tcW w:w="2009" w:type="dxa"/>
          </w:tcPr>
          <w:p w14:paraId="11C233F7"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7 a 9</w:t>
            </w:r>
          </w:p>
        </w:tc>
        <w:tc>
          <w:tcPr>
            <w:tcW w:w="1110" w:type="dxa"/>
          </w:tcPr>
          <w:p w14:paraId="62504818"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18</w:t>
            </w:r>
          </w:p>
        </w:tc>
      </w:tr>
      <w:tr w:rsidR="003F00DA" w14:paraId="70ED77AC" w14:textId="77777777" w:rsidTr="00277338">
        <w:tc>
          <w:tcPr>
            <w:tcW w:w="2009" w:type="dxa"/>
          </w:tcPr>
          <w:p w14:paraId="139C1F0F"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4 a 6</w:t>
            </w:r>
          </w:p>
        </w:tc>
        <w:tc>
          <w:tcPr>
            <w:tcW w:w="1110" w:type="dxa"/>
          </w:tcPr>
          <w:p w14:paraId="67603566"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14</w:t>
            </w:r>
          </w:p>
        </w:tc>
      </w:tr>
      <w:tr w:rsidR="003F00DA" w14:paraId="79528C57" w14:textId="77777777" w:rsidTr="00277338">
        <w:tc>
          <w:tcPr>
            <w:tcW w:w="2009" w:type="dxa"/>
          </w:tcPr>
          <w:p w14:paraId="6114F7B8"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3</w:t>
            </w:r>
          </w:p>
        </w:tc>
        <w:tc>
          <w:tcPr>
            <w:tcW w:w="1110" w:type="dxa"/>
          </w:tcPr>
          <w:p w14:paraId="7C703FF5"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10</w:t>
            </w:r>
          </w:p>
        </w:tc>
      </w:tr>
    </w:tbl>
    <w:p w14:paraId="6EDEED00" w14:textId="77777777" w:rsidR="003F00DA" w:rsidRPr="00C30C82" w:rsidRDefault="003F00DA" w:rsidP="003F00DA">
      <w:pPr>
        <w:spacing w:after="0" w:line="240" w:lineRule="auto"/>
        <w:jc w:val="both"/>
        <w:rPr>
          <w:rFonts w:ascii="HendersonSansW00-BasicLight" w:eastAsia="Garamond" w:hAnsi="HendersonSansW00-BasicLight" w:cs="Garamond"/>
        </w:rPr>
      </w:pPr>
    </w:p>
    <w:p w14:paraId="7936FB87" w14:textId="77777777" w:rsidR="003F00DA"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b/>
          <w:bCs/>
        </w:rPr>
        <w:t>a.3) Preinversión (20 puntos):</w:t>
      </w:r>
      <w:r>
        <w:rPr>
          <w:rFonts w:ascii="HendersonSansW00-BasicLight" w:eastAsia="Garamond" w:hAnsi="HendersonSansW00-BasicLight" w:cs="Garamond"/>
        </w:rPr>
        <w:t xml:space="preserve">  la firma consultora o consorcio deberá aportar al menos dos estudios relacionados con evaluación ex ante (pre-factibilidad y factibilidad), desarrollados en el Sector público, relacionados con proyectos de inversión pública. </w:t>
      </w:r>
    </w:p>
    <w:p w14:paraId="4D5C64DA" w14:textId="77777777" w:rsidR="003F00DA" w:rsidRDefault="003F00DA" w:rsidP="003F00DA">
      <w:pPr>
        <w:spacing w:after="0" w:line="240" w:lineRule="auto"/>
        <w:jc w:val="both"/>
        <w:rPr>
          <w:rFonts w:ascii="HendersonSansW00-BasicLight" w:eastAsia="Garamond" w:hAnsi="HendersonSansW00-BasicLight" w:cs="Garamond"/>
        </w:rPr>
      </w:pPr>
    </w:p>
    <w:tbl>
      <w:tblPr>
        <w:tblStyle w:val="Tablaconcuadrcula"/>
        <w:tblW w:w="0" w:type="auto"/>
        <w:tblInd w:w="2405" w:type="dxa"/>
        <w:tblLook w:val="04A0" w:firstRow="1" w:lastRow="0" w:firstColumn="1" w:lastColumn="0" w:noHBand="0" w:noVBand="1"/>
      </w:tblPr>
      <w:tblGrid>
        <w:gridCol w:w="2009"/>
        <w:gridCol w:w="1110"/>
      </w:tblGrid>
      <w:tr w:rsidR="003F00DA" w14:paraId="12B96246" w14:textId="77777777" w:rsidTr="00277338">
        <w:tc>
          <w:tcPr>
            <w:tcW w:w="2009" w:type="dxa"/>
          </w:tcPr>
          <w:p w14:paraId="6C95CDF1"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Número de estudios</w:t>
            </w:r>
          </w:p>
        </w:tc>
        <w:tc>
          <w:tcPr>
            <w:tcW w:w="1110" w:type="dxa"/>
          </w:tcPr>
          <w:p w14:paraId="4A0A9315" w14:textId="77777777" w:rsidR="003F00DA" w:rsidRPr="00271434" w:rsidRDefault="003F00DA" w:rsidP="00277338">
            <w:pPr>
              <w:suppressAutoHyphens w:val="0"/>
              <w:jc w:val="center"/>
              <w:rPr>
                <w:rFonts w:ascii="HendersonSansW00-BasicLight" w:eastAsia="Garamond" w:hAnsi="HendersonSansW00-BasicLight" w:cs="Garamond"/>
                <w:b/>
              </w:rPr>
            </w:pPr>
            <w:r>
              <w:rPr>
                <w:rFonts w:ascii="HendersonSansW00-BasicLight" w:eastAsia="Garamond" w:hAnsi="HendersonSansW00-BasicLight" w:cs="Garamond"/>
                <w:b/>
              </w:rPr>
              <w:t>Puntos</w:t>
            </w:r>
          </w:p>
        </w:tc>
      </w:tr>
      <w:tr w:rsidR="003F00DA" w14:paraId="681070A9" w14:textId="77777777" w:rsidTr="00277338">
        <w:tc>
          <w:tcPr>
            <w:tcW w:w="2009" w:type="dxa"/>
          </w:tcPr>
          <w:p w14:paraId="6CFBE281"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7 o más</w:t>
            </w:r>
          </w:p>
        </w:tc>
        <w:tc>
          <w:tcPr>
            <w:tcW w:w="1110" w:type="dxa"/>
          </w:tcPr>
          <w:p w14:paraId="162D6F38"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20</w:t>
            </w:r>
          </w:p>
        </w:tc>
      </w:tr>
      <w:tr w:rsidR="003F00DA" w14:paraId="1649D185" w14:textId="77777777" w:rsidTr="00277338">
        <w:tc>
          <w:tcPr>
            <w:tcW w:w="2009" w:type="dxa"/>
          </w:tcPr>
          <w:p w14:paraId="59BF01DF"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5 a 6</w:t>
            </w:r>
          </w:p>
        </w:tc>
        <w:tc>
          <w:tcPr>
            <w:tcW w:w="1110" w:type="dxa"/>
          </w:tcPr>
          <w:p w14:paraId="0FB7B93B"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18</w:t>
            </w:r>
          </w:p>
        </w:tc>
      </w:tr>
      <w:tr w:rsidR="003F00DA" w14:paraId="03A4A2CE" w14:textId="77777777" w:rsidTr="00277338">
        <w:tc>
          <w:tcPr>
            <w:tcW w:w="2009" w:type="dxa"/>
          </w:tcPr>
          <w:p w14:paraId="28F7A0ED"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De 3 a 4</w:t>
            </w:r>
          </w:p>
        </w:tc>
        <w:tc>
          <w:tcPr>
            <w:tcW w:w="1110" w:type="dxa"/>
          </w:tcPr>
          <w:p w14:paraId="3EE5741F" w14:textId="77777777" w:rsidR="003F00DA" w:rsidRPr="00271434" w:rsidRDefault="003F00DA" w:rsidP="00277338">
            <w:pPr>
              <w:suppressAutoHyphens w:val="0"/>
              <w:jc w:val="center"/>
              <w:rPr>
                <w:rFonts w:ascii="HendersonSansW00-BasicLight" w:eastAsia="Garamond" w:hAnsi="HendersonSansW00-BasicLight" w:cs="Garamond"/>
              </w:rPr>
            </w:pPr>
            <w:r>
              <w:rPr>
                <w:rFonts w:ascii="HendersonSansW00-BasicLight" w:eastAsia="Garamond" w:hAnsi="HendersonSansW00-BasicLight" w:cs="Garamond"/>
              </w:rPr>
              <w:t>14</w:t>
            </w:r>
          </w:p>
        </w:tc>
      </w:tr>
      <w:tr w:rsidR="003F00DA" w14:paraId="210D7A4D" w14:textId="77777777" w:rsidTr="00277338">
        <w:tc>
          <w:tcPr>
            <w:tcW w:w="2009" w:type="dxa"/>
          </w:tcPr>
          <w:p w14:paraId="5E066EA2"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2</w:t>
            </w:r>
          </w:p>
        </w:tc>
        <w:tc>
          <w:tcPr>
            <w:tcW w:w="1110" w:type="dxa"/>
          </w:tcPr>
          <w:p w14:paraId="37CF26BA" w14:textId="77777777" w:rsidR="003F00DA" w:rsidRDefault="003F00DA" w:rsidP="00277338">
            <w:pPr>
              <w:jc w:val="center"/>
              <w:rPr>
                <w:rFonts w:ascii="HendersonSansW00-BasicLight" w:eastAsia="Garamond" w:hAnsi="HendersonSansW00-BasicLight" w:cs="Garamond"/>
              </w:rPr>
            </w:pPr>
            <w:r>
              <w:rPr>
                <w:rFonts w:ascii="HendersonSansW00-BasicLight" w:eastAsia="Garamond" w:hAnsi="HendersonSansW00-BasicLight" w:cs="Garamond"/>
              </w:rPr>
              <w:t>10</w:t>
            </w:r>
          </w:p>
        </w:tc>
      </w:tr>
    </w:tbl>
    <w:p w14:paraId="1D198F73" w14:textId="77777777" w:rsidR="003F00DA" w:rsidRPr="00C30C82" w:rsidRDefault="003F00DA" w:rsidP="003F00DA">
      <w:pPr>
        <w:spacing w:after="0" w:line="240" w:lineRule="auto"/>
        <w:jc w:val="both"/>
        <w:rPr>
          <w:rFonts w:ascii="HendersonSansW00-BasicLight" w:eastAsia="Garamond" w:hAnsi="HendersonSansW00-BasicLight" w:cs="Garamond"/>
        </w:rPr>
      </w:pPr>
    </w:p>
    <w:p w14:paraId="78A10072" w14:textId="77777777" w:rsidR="003F00DA" w:rsidRPr="00C85C82" w:rsidRDefault="003F00DA" w:rsidP="003F00DA">
      <w:pPr>
        <w:spacing w:after="0" w:line="240" w:lineRule="auto"/>
        <w:jc w:val="center"/>
        <w:rPr>
          <w:rFonts w:ascii="HendersonSansW00-BasicLight" w:eastAsia="Garamond" w:hAnsi="HendersonSansW00-BasicLight" w:cs="Garamond"/>
        </w:rPr>
      </w:pPr>
    </w:p>
    <w:p w14:paraId="539B152A" w14:textId="77777777" w:rsidR="003F00DA" w:rsidRDefault="003F00DA" w:rsidP="003F00DA">
      <w:pPr>
        <w:numPr>
          <w:ilvl w:val="0"/>
          <w:numId w:val="6"/>
        </w:numPr>
        <w:pBdr>
          <w:top w:val="nil"/>
          <w:left w:val="nil"/>
          <w:bottom w:val="nil"/>
          <w:right w:val="nil"/>
          <w:between w:val="nil"/>
        </w:pBd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b/>
        </w:rPr>
        <w:t>Experiencia en competencias específicas (40 puntos)</w:t>
      </w:r>
    </w:p>
    <w:p w14:paraId="7F87E0EB"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rPr>
      </w:pPr>
    </w:p>
    <w:p w14:paraId="1ACC9075"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b/>
        </w:rPr>
      </w:pPr>
      <w:r>
        <w:rPr>
          <w:rFonts w:ascii="HendersonSansW00-BasicLight" w:eastAsia="Garamond" w:hAnsi="HendersonSansW00-BasicLight" w:cs="Garamond"/>
        </w:rPr>
        <w:t xml:space="preserve">El </w:t>
      </w:r>
      <w:r>
        <w:rPr>
          <w:rFonts w:ascii="HendersonSansW00-BasicLight" w:eastAsia="Garamond" w:hAnsi="HendersonSansW00-BasicLight" w:cs="Garamond"/>
          <w:b/>
        </w:rPr>
        <w:t xml:space="preserve">OFERENTE </w:t>
      </w:r>
      <w:r>
        <w:rPr>
          <w:rFonts w:ascii="HendersonSansW00-BasicLight" w:eastAsia="Garamond" w:hAnsi="HendersonSansW00-BasicLight" w:cs="Garamond"/>
        </w:rPr>
        <w:t xml:space="preserve">deberá aportar una Constancia o Certificación de la experiencia emitida por el beneficiario con las competencias específicas, mediante la </w:t>
      </w:r>
      <w:r>
        <w:rPr>
          <w:rFonts w:ascii="HendersonSansW00-BasicLight" w:eastAsia="Garamond" w:hAnsi="HendersonSansW00-BasicLight" w:cs="Garamond"/>
          <w:b/>
        </w:rPr>
        <w:t>Tabla 1b FORMATO CERTIFICACIÓN EXPERIENCIA EN COMPETENCIAS ESPECÍFICAS.</w:t>
      </w:r>
    </w:p>
    <w:p w14:paraId="34CEA05C"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b/>
        </w:rPr>
      </w:pPr>
    </w:p>
    <w:p w14:paraId="75EACAAD"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bCs/>
        </w:rPr>
      </w:pPr>
      <w:r>
        <w:rPr>
          <w:rFonts w:ascii="HendersonSansW00-BasicLight" w:eastAsia="Garamond" w:hAnsi="HendersonSansW00-BasicLight" w:cs="Garamond"/>
          <w:bCs/>
        </w:rPr>
        <w:t>Los estudios para certificar deberán ser de contratos vigentes o concluidos en una fecha no superior a 5 años, contados a partir de la fecha de apertura de este concurso.</w:t>
      </w:r>
    </w:p>
    <w:p w14:paraId="4B6E4635" w14:textId="77777777" w:rsidR="003F00DA"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bCs/>
        </w:rPr>
      </w:pPr>
    </w:p>
    <w:p w14:paraId="608846BA" w14:textId="77777777" w:rsidR="003F00DA" w:rsidRPr="0009779B" w:rsidRDefault="003F00DA" w:rsidP="003F00DA">
      <w:pPr>
        <w:pBdr>
          <w:top w:val="nil"/>
          <w:left w:val="nil"/>
          <w:bottom w:val="nil"/>
          <w:right w:val="nil"/>
          <w:between w:val="nil"/>
        </w:pBdr>
        <w:spacing w:after="0" w:line="240" w:lineRule="auto"/>
        <w:jc w:val="both"/>
        <w:rPr>
          <w:rFonts w:ascii="HendersonSansW00-BasicLight" w:eastAsia="Garamond" w:hAnsi="HendersonSansW00-BasicLight" w:cs="Garamond"/>
          <w:bCs/>
        </w:rPr>
      </w:pPr>
      <w:r>
        <w:rPr>
          <w:rFonts w:ascii="HendersonSansW00-BasicLight" w:eastAsia="Garamond" w:hAnsi="HendersonSansW00-BasicLight" w:cs="Garamond"/>
          <w:bCs/>
        </w:rPr>
        <w:t xml:space="preserve">El puntaje se asignará a razón de 1 punto por cada estudio documentado, con un máximo de 4 puntos por cada competencia específica. Dado que se evalúan 10 competencias específicas (Tabla 1b), el puntaje máximo de este criterio es de 40 puntos. </w:t>
      </w:r>
    </w:p>
    <w:p w14:paraId="670E47DA" w14:textId="77777777" w:rsidR="003F00DA" w:rsidRPr="00AC3CED" w:rsidRDefault="003F00DA" w:rsidP="003F00DA">
      <w:pPr>
        <w:keepNext/>
        <w:keepLines/>
        <w:spacing w:after="0" w:line="240" w:lineRule="auto"/>
        <w:ind w:left="-566" w:right="-646"/>
        <w:jc w:val="center"/>
        <w:rPr>
          <w:rFonts w:ascii="HendersonSansW00-BasicLight" w:eastAsia="Garamond" w:hAnsi="HendersonSansW00-BasicLight" w:cs="Garamond"/>
          <w:b/>
        </w:rPr>
      </w:pPr>
      <w:r>
        <w:rPr>
          <w:rFonts w:ascii="HendersonSansW00-BasicLight" w:eastAsia="Garamond" w:hAnsi="HendersonSansW00-BasicLight" w:cs="Garamond"/>
          <w:b/>
        </w:rPr>
        <w:lastRenderedPageBreak/>
        <w:t>Tabla 1b FORMATO</w:t>
      </w:r>
    </w:p>
    <w:p w14:paraId="29E760D2" w14:textId="77777777" w:rsidR="003F00DA" w:rsidRDefault="003F00DA" w:rsidP="003F00DA">
      <w:pPr>
        <w:keepNext/>
        <w:keepLines/>
        <w:spacing w:after="0" w:line="240" w:lineRule="auto"/>
        <w:ind w:left="-566" w:right="-646"/>
        <w:jc w:val="center"/>
        <w:rPr>
          <w:rFonts w:ascii="HendersonSansW00-BasicLight" w:eastAsia="Garamond" w:hAnsi="HendersonSansW00-BasicLight" w:cs="Garamond"/>
          <w:b/>
        </w:rPr>
      </w:pPr>
      <w:r>
        <w:rPr>
          <w:rFonts w:ascii="HendersonSansW00-BasicLight" w:eastAsia="Garamond" w:hAnsi="HendersonSansW00-BasicLight" w:cs="Garamond"/>
          <w:b/>
        </w:rPr>
        <w:t>CERTIFICACIÓN EXPERIENCIA EN COMPETENCIAS ESPECÍFICAS</w:t>
      </w:r>
    </w:p>
    <w:p w14:paraId="2C7A1DF9" w14:textId="77777777" w:rsidR="003F00DA" w:rsidRDefault="003F00DA" w:rsidP="003F00DA">
      <w:pPr>
        <w:keepNext/>
        <w:keepLines/>
        <w:spacing w:after="0" w:line="240" w:lineRule="auto"/>
        <w:ind w:left="-566" w:right="-646"/>
        <w:jc w:val="center"/>
        <w:rPr>
          <w:rFonts w:ascii="HendersonSansW00-BasicLight" w:eastAsia="Garamond" w:hAnsi="HendersonSansW00-BasicLight" w:cs="Garamond"/>
          <w:b/>
        </w:rPr>
      </w:pPr>
    </w:p>
    <w:tbl>
      <w:tblPr>
        <w:tblStyle w:val="Tablaconcuadrcula"/>
        <w:tblW w:w="5000" w:type="pct"/>
        <w:tblLook w:val="04A0" w:firstRow="1" w:lastRow="0" w:firstColumn="1" w:lastColumn="0" w:noHBand="0" w:noVBand="1"/>
      </w:tblPr>
      <w:tblGrid>
        <w:gridCol w:w="2650"/>
        <w:gridCol w:w="3009"/>
        <w:gridCol w:w="3169"/>
      </w:tblGrid>
      <w:tr w:rsidR="003F00DA" w:rsidRPr="00D13CA1" w14:paraId="246A0133" w14:textId="77777777" w:rsidTr="00277338">
        <w:tc>
          <w:tcPr>
            <w:tcW w:w="5000" w:type="pct"/>
            <w:gridSpan w:val="3"/>
          </w:tcPr>
          <w:p w14:paraId="63DCB072" w14:textId="77777777" w:rsidR="003F00DA" w:rsidRPr="00843666" w:rsidRDefault="003F00DA" w:rsidP="00277338">
            <w:pPr>
              <w:pStyle w:val="WW-Predeterminado"/>
              <w:jc w:val="center"/>
              <w:rPr>
                <w:rFonts w:ascii="HendersonSansW00-BasicLight" w:hAnsi="HendersonSansW00-BasicLight" w:cs="Arial"/>
                <w:b/>
                <w:bCs/>
                <w:sz w:val="22"/>
                <w:szCs w:val="22"/>
              </w:rPr>
            </w:pPr>
            <w:r>
              <w:rPr>
                <w:rFonts w:ascii="HendersonSansW00-BasicLight" w:hAnsi="HendersonSansW00-BasicLight" w:cs="Arial"/>
                <w:b/>
                <w:bCs/>
                <w:sz w:val="22"/>
                <w:szCs w:val="22"/>
              </w:rPr>
              <w:t>Experiencia documentada en competencias específicas</w:t>
            </w:r>
          </w:p>
        </w:tc>
      </w:tr>
      <w:tr w:rsidR="003F00DA" w:rsidRPr="00D13CA1" w14:paraId="4ED3D3EB" w14:textId="77777777" w:rsidTr="00277338">
        <w:tc>
          <w:tcPr>
            <w:tcW w:w="1501" w:type="pct"/>
            <w:vAlign w:val="center"/>
          </w:tcPr>
          <w:p w14:paraId="11BCB7B4" w14:textId="77777777" w:rsidR="003F00DA" w:rsidRPr="00D13CA1" w:rsidRDefault="003F00DA" w:rsidP="00277338">
            <w:pPr>
              <w:pStyle w:val="WW-Predeterminado"/>
              <w:jc w:val="center"/>
              <w:rPr>
                <w:rFonts w:ascii="HendersonSansW00-BasicLight" w:hAnsi="HendersonSansW00-BasicLight" w:cs="Arial"/>
                <w:b/>
                <w:bCs/>
                <w:sz w:val="12"/>
                <w:szCs w:val="12"/>
              </w:rPr>
            </w:pPr>
            <w:r>
              <w:rPr>
                <w:rFonts w:ascii="HendersonSansW00-BasicLight" w:hAnsi="HendersonSansW00-BasicLight" w:cs="Arial"/>
                <w:b/>
                <w:bCs/>
                <w:sz w:val="12"/>
                <w:szCs w:val="12"/>
              </w:rPr>
              <w:t>Competencia Específica que se evalúa para la asignación del puntaje</w:t>
            </w:r>
          </w:p>
        </w:tc>
        <w:tc>
          <w:tcPr>
            <w:tcW w:w="1704" w:type="pct"/>
            <w:vAlign w:val="center"/>
          </w:tcPr>
          <w:p w14:paraId="0FE03462" w14:textId="77777777" w:rsidR="003F00DA" w:rsidRPr="00D13CA1" w:rsidRDefault="003F00DA" w:rsidP="00277338">
            <w:pPr>
              <w:pStyle w:val="WW-Predeterminado"/>
              <w:jc w:val="center"/>
              <w:rPr>
                <w:rFonts w:ascii="HendersonSansW00-BasicLight" w:hAnsi="HendersonSansW00-BasicLight" w:cs="Arial"/>
                <w:b/>
                <w:bCs/>
                <w:sz w:val="12"/>
                <w:szCs w:val="12"/>
              </w:rPr>
            </w:pPr>
            <w:r>
              <w:rPr>
                <w:rFonts w:ascii="HendersonSansW00-BasicLight" w:hAnsi="HendersonSansW00-BasicLight" w:cs="Arial"/>
                <w:b/>
                <w:bCs/>
                <w:sz w:val="12"/>
                <w:szCs w:val="12"/>
              </w:rPr>
              <w:t>Forma de medición**</w:t>
            </w:r>
          </w:p>
        </w:tc>
        <w:tc>
          <w:tcPr>
            <w:tcW w:w="1795" w:type="pct"/>
            <w:vAlign w:val="center"/>
          </w:tcPr>
          <w:p w14:paraId="27464BBA" w14:textId="77777777" w:rsidR="003F00DA" w:rsidRPr="00D13CA1" w:rsidRDefault="003F00DA" w:rsidP="00277338">
            <w:pPr>
              <w:pStyle w:val="WW-Predeterminado"/>
              <w:jc w:val="center"/>
              <w:rPr>
                <w:rFonts w:ascii="HendersonSansW00-BasicLight" w:hAnsi="HendersonSansW00-BasicLight" w:cs="Arial"/>
                <w:b/>
                <w:bCs/>
                <w:sz w:val="12"/>
                <w:szCs w:val="12"/>
              </w:rPr>
            </w:pPr>
            <w:r>
              <w:rPr>
                <w:rFonts w:ascii="HendersonSansW00-BasicLight" w:hAnsi="HendersonSansW00-BasicLight" w:cs="Arial"/>
                <w:b/>
                <w:bCs/>
                <w:sz w:val="12"/>
                <w:szCs w:val="12"/>
              </w:rPr>
              <w:t>Puntaje asignado</w:t>
            </w:r>
          </w:p>
        </w:tc>
      </w:tr>
      <w:tr w:rsidR="003F00DA" w:rsidRPr="00D13CA1" w14:paraId="41FAA6B8" w14:textId="77777777" w:rsidTr="00277338">
        <w:tc>
          <w:tcPr>
            <w:tcW w:w="1501" w:type="pct"/>
            <w:vMerge w:val="restart"/>
            <w:vAlign w:val="center"/>
          </w:tcPr>
          <w:p w14:paraId="2F75C4CD" w14:textId="77777777" w:rsidR="003F00DA" w:rsidRPr="009B4047" w:rsidRDefault="003F00DA" w:rsidP="00277338">
            <w:pPr>
              <w:pStyle w:val="WW-Predeterminado"/>
              <w:rPr>
                <w:rFonts w:ascii="HendersonSansW00-BasicLight" w:hAnsi="HendersonSansW00-BasicLight" w:cs="Arial"/>
                <w:sz w:val="12"/>
                <w:szCs w:val="12"/>
              </w:rPr>
            </w:pPr>
            <w:r>
              <w:rPr>
                <w:rFonts w:ascii="HendersonSansW00-BasicLight" w:hAnsi="HendersonSansW00-BasicLight"/>
                <w:sz w:val="12"/>
                <w:szCs w:val="12"/>
              </w:rPr>
              <w:t>1. Experiencia en levantamiento de información en sitio.</w:t>
            </w:r>
          </w:p>
        </w:tc>
        <w:tc>
          <w:tcPr>
            <w:tcW w:w="1704" w:type="pct"/>
            <w:vMerge w:val="restart"/>
            <w:vAlign w:val="center"/>
          </w:tcPr>
          <w:p w14:paraId="540BAB90"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en donde empleen técnicas de levantamiento de información en sitio. </w:t>
            </w:r>
          </w:p>
        </w:tc>
        <w:tc>
          <w:tcPr>
            <w:tcW w:w="1795" w:type="pct"/>
            <w:vAlign w:val="center"/>
          </w:tcPr>
          <w:p w14:paraId="5EC18AE7"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15BA6EEB" w14:textId="77777777" w:rsidTr="00277338">
        <w:tc>
          <w:tcPr>
            <w:tcW w:w="1501" w:type="pct"/>
            <w:vMerge/>
            <w:vAlign w:val="center"/>
          </w:tcPr>
          <w:p w14:paraId="47DAC2C6" w14:textId="77777777" w:rsidR="003F00DA" w:rsidRPr="009B4047" w:rsidRDefault="003F00DA" w:rsidP="00277338">
            <w:pPr>
              <w:pStyle w:val="WW-Predeterminado"/>
              <w:rPr>
                <w:rFonts w:ascii="HendersonSansW00-BasicLight" w:hAnsi="HendersonSansW00-BasicLight"/>
                <w:sz w:val="12"/>
                <w:szCs w:val="12"/>
              </w:rPr>
            </w:pPr>
          </w:p>
        </w:tc>
        <w:tc>
          <w:tcPr>
            <w:tcW w:w="1704" w:type="pct"/>
            <w:vMerge/>
            <w:vAlign w:val="center"/>
          </w:tcPr>
          <w:p w14:paraId="2E6F0F48" w14:textId="77777777" w:rsidR="003F00DA" w:rsidRDefault="003F00DA" w:rsidP="00277338">
            <w:pPr>
              <w:pStyle w:val="WW-Predeterminado"/>
              <w:rPr>
                <w:rFonts w:ascii="HendersonSansW00-BasicLight" w:hAnsi="HendersonSansW00-BasicLight" w:cs="Arial"/>
                <w:sz w:val="12"/>
                <w:szCs w:val="12"/>
              </w:rPr>
            </w:pPr>
          </w:p>
        </w:tc>
        <w:tc>
          <w:tcPr>
            <w:tcW w:w="1795" w:type="pct"/>
            <w:vAlign w:val="center"/>
          </w:tcPr>
          <w:p w14:paraId="75A9FF77" w14:textId="77777777" w:rsidR="003F00DA"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479A7275" w14:textId="77777777" w:rsidTr="00277338">
        <w:tc>
          <w:tcPr>
            <w:tcW w:w="1501" w:type="pct"/>
            <w:vMerge w:val="restart"/>
            <w:vAlign w:val="center"/>
          </w:tcPr>
          <w:p w14:paraId="2C3DFC6C" w14:textId="77777777" w:rsidR="003F00DA" w:rsidRPr="009B4047" w:rsidRDefault="003F00DA" w:rsidP="00277338">
            <w:pPr>
              <w:pStyle w:val="WW-Predeterminado"/>
              <w:rPr>
                <w:rFonts w:ascii="HendersonSansW00-BasicLight" w:hAnsi="HendersonSansW00-BasicLight" w:cs="Arial"/>
                <w:sz w:val="12"/>
                <w:szCs w:val="12"/>
              </w:rPr>
            </w:pPr>
            <w:r>
              <w:rPr>
                <w:rFonts w:ascii="HendersonSansW00-BasicLight" w:hAnsi="HendersonSansW00-BasicLight"/>
                <w:sz w:val="12"/>
                <w:szCs w:val="12"/>
              </w:rPr>
              <w:t>2. Sistematización y análisis de la información</w:t>
            </w:r>
          </w:p>
        </w:tc>
        <w:tc>
          <w:tcPr>
            <w:tcW w:w="1704" w:type="pct"/>
            <w:vMerge w:val="restart"/>
            <w:vAlign w:val="center"/>
          </w:tcPr>
          <w:p w14:paraId="610986E9"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en donde empleen técnicas de sistematización y análisis de información. </w:t>
            </w:r>
          </w:p>
        </w:tc>
        <w:tc>
          <w:tcPr>
            <w:tcW w:w="1795" w:type="pct"/>
            <w:vAlign w:val="center"/>
          </w:tcPr>
          <w:p w14:paraId="45898404"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276F29E9" w14:textId="77777777" w:rsidTr="00277338">
        <w:tc>
          <w:tcPr>
            <w:tcW w:w="1501" w:type="pct"/>
            <w:vMerge/>
            <w:vAlign w:val="center"/>
          </w:tcPr>
          <w:p w14:paraId="0B25C6A7" w14:textId="77777777" w:rsidR="003F00DA" w:rsidRPr="009B4047" w:rsidRDefault="003F00DA" w:rsidP="00277338">
            <w:pPr>
              <w:pStyle w:val="WW-Predeterminado"/>
              <w:rPr>
                <w:rFonts w:ascii="HendersonSansW00-BasicLight" w:hAnsi="HendersonSansW00-BasicLight"/>
                <w:sz w:val="12"/>
                <w:szCs w:val="12"/>
              </w:rPr>
            </w:pPr>
          </w:p>
        </w:tc>
        <w:tc>
          <w:tcPr>
            <w:tcW w:w="1704" w:type="pct"/>
            <w:vMerge/>
            <w:vAlign w:val="center"/>
          </w:tcPr>
          <w:p w14:paraId="4342A778" w14:textId="77777777" w:rsidR="003F00DA" w:rsidRDefault="003F00DA" w:rsidP="00277338">
            <w:pPr>
              <w:pStyle w:val="WW-Predeterminado"/>
              <w:rPr>
                <w:rFonts w:ascii="HendersonSansW00-BasicLight" w:hAnsi="HendersonSansW00-BasicLight" w:cs="Arial"/>
                <w:sz w:val="12"/>
                <w:szCs w:val="12"/>
              </w:rPr>
            </w:pPr>
          </w:p>
        </w:tc>
        <w:tc>
          <w:tcPr>
            <w:tcW w:w="1795" w:type="pct"/>
            <w:vAlign w:val="center"/>
          </w:tcPr>
          <w:p w14:paraId="6F1F8646"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69778235" w14:textId="77777777" w:rsidTr="00277338">
        <w:tc>
          <w:tcPr>
            <w:tcW w:w="1501" w:type="pct"/>
            <w:vMerge w:val="restart"/>
            <w:vAlign w:val="center"/>
          </w:tcPr>
          <w:p w14:paraId="6EA79A7F" w14:textId="77777777" w:rsidR="003F00DA" w:rsidRPr="009B4047" w:rsidRDefault="003F00DA" w:rsidP="00277338">
            <w:pPr>
              <w:pStyle w:val="WW-Predeterminado"/>
              <w:rPr>
                <w:rFonts w:ascii="HendersonSansW00-BasicLight" w:hAnsi="HendersonSansW00-BasicLight" w:cs="Arial"/>
                <w:sz w:val="12"/>
                <w:szCs w:val="12"/>
              </w:rPr>
            </w:pPr>
            <w:r>
              <w:rPr>
                <w:rFonts w:ascii="HendersonSansW00-BasicLight" w:hAnsi="HendersonSansW00-BasicLight"/>
                <w:sz w:val="12"/>
                <w:szCs w:val="12"/>
              </w:rPr>
              <w:t xml:space="preserve">3. Experiencia en estimación de costos. </w:t>
            </w:r>
          </w:p>
        </w:tc>
        <w:tc>
          <w:tcPr>
            <w:tcW w:w="1704" w:type="pct"/>
            <w:vMerge w:val="restart"/>
            <w:vAlign w:val="center"/>
          </w:tcPr>
          <w:p w14:paraId="2EDEE596"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con aplicación de métodos de estimación de costos. </w:t>
            </w:r>
          </w:p>
        </w:tc>
        <w:tc>
          <w:tcPr>
            <w:tcW w:w="1795" w:type="pct"/>
            <w:vAlign w:val="center"/>
          </w:tcPr>
          <w:p w14:paraId="381A7140"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318BC5C5" w14:textId="77777777" w:rsidTr="00277338">
        <w:tc>
          <w:tcPr>
            <w:tcW w:w="1501" w:type="pct"/>
            <w:vMerge/>
            <w:vAlign w:val="center"/>
          </w:tcPr>
          <w:p w14:paraId="28CB22EB" w14:textId="77777777" w:rsidR="003F00DA" w:rsidRPr="009B4047" w:rsidRDefault="003F00DA" w:rsidP="00277338">
            <w:pPr>
              <w:pStyle w:val="WW-Predeterminado"/>
              <w:rPr>
                <w:rFonts w:ascii="HendersonSansW00-BasicLight" w:hAnsi="HendersonSansW00-BasicLight"/>
                <w:sz w:val="12"/>
                <w:szCs w:val="12"/>
              </w:rPr>
            </w:pPr>
          </w:p>
        </w:tc>
        <w:tc>
          <w:tcPr>
            <w:tcW w:w="1704" w:type="pct"/>
            <w:vMerge/>
            <w:vAlign w:val="center"/>
          </w:tcPr>
          <w:p w14:paraId="140747EC" w14:textId="77777777" w:rsidR="003F00DA" w:rsidRDefault="003F00DA" w:rsidP="00277338">
            <w:pPr>
              <w:pStyle w:val="WW-Predeterminado"/>
              <w:rPr>
                <w:rFonts w:ascii="HendersonSansW00-BasicLight" w:hAnsi="HendersonSansW00-BasicLight" w:cs="Arial"/>
                <w:sz w:val="12"/>
                <w:szCs w:val="12"/>
              </w:rPr>
            </w:pPr>
          </w:p>
        </w:tc>
        <w:tc>
          <w:tcPr>
            <w:tcW w:w="1795" w:type="pct"/>
            <w:vAlign w:val="center"/>
          </w:tcPr>
          <w:p w14:paraId="765EE533"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7621782C" w14:textId="77777777" w:rsidTr="00277338">
        <w:tc>
          <w:tcPr>
            <w:tcW w:w="1501" w:type="pct"/>
            <w:vMerge w:val="restart"/>
            <w:vAlign w:val="center"/>
          </w:tcPr>
          <w:p w14:paraId="5A2EF44D" w14:textId="77777777" w:rsidR="003F00DA" w:rsidRPr="009B4047" w:rsidRDefault="003F00DA" w:rsidP="00277338">
            <w:pPr>
              <w:pStyle w:val="WW-Predeterminado"/>
              <w:rPr>
                <w:rFonts w:ascii="HendersonSansW00-BasicLight" w:hAnsi="HendersonSansW00-BasicLight" w:cs="Arial"/>
                <w:sz w:val="12"/>
                <w:szCs w:val="12"/>
              </w:rPr>
            </w:pPr>
            <w:r>
              <w:rPr>
                <w:rFonts w:ascii="HendersonSansW00-BasicLight" w:hAnsi="HendersonSansW00-BasicLight"/>
                <w:sz w:val="12"/>
                <w:szCs w:val="12"/>
              </w:rPr>
              <w:t>4. Experiencia en análisis hidráulico preciso de las redes (tuberías de  sistemas existentes y en uso de acueductos)</w:t>
            </w:r>
          </w:p>
        </w:tc>
        <w:tc>
          <w:tcPr>
            <w:tcW w:w="1704" w:type="pct"/>
            <w:vMerge w:val="restart"/>
            <w:vAlign w:val="center"/>
          </w:tcPr>
          <w:p w14:paraId="565F10BA"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Cantidad de estudios que hayan realizado para el análisis hidráulico preciso de redes (tuberías de sistemas existentes y en uso de acueductos)</w:t>
            </w:r>
          </w:p>
        </w:tc>
        <w:tc>
          <w:tcPr>
            <w:tcW w:w="1795" w:type="pct"/>
            <w:vAlign w:val="center"/>
          </w:tcPr>
          <w:p w14:paraId="181198D9"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457267B3" w14:textId="77777777" w:rsidTr="00277338">
        <w:tc>
          <w:tcPr>
            <w:tcW w:w="1501" w:type="pct"/>
            <w:vMerge/>
            <w:vAlign w:val="center"/>
          </w:tcPr>
          <w:p w14:paraId="7D0C2ACA" w14:textId="77777777" w:rsidR="003F00DA" w:rsidRPr="009B4047" w:rsidRDefault="003F00DA" w:rsidP="00277338">
            <w:pPr>
              <w:pStyle w:val="WW-Predeterminado"/>
              <w:rPr>
                <w:rFonts w:ascii="HendersonSansW00-BasicLight" w:hAnsi="HendersonSansW00-BasicLight"/>
                <w:sz w:val="12"/>
                <w:szCs w:val="12"/>
              </w:rPr>
            </w:pPr>
          </w:p>
        </w:tc>
        <w:tc>
          <w:tcPr>
            <w:tcW w:w="1704" w:type="pct"/>
            <w:vMerge/>
            <w:vAlign w:val="center"/>
          </w:tcPr>
          <w:p w14:paraId="56D27C7F" w14:textId="77777777" w:rsidR="003F00DA" w:rsidRDefault="003F00DA" w:rsidP="00277338">
            <w:pPr>
              <w:pStyle w:val="WW-Predeterminado"/>
              <w:rPr>
                <w:rFonts w:ascii="HendersonSansW00-BasicLight" w:hAnsi="HendersonSansW00-BasicLight" w:cs="Arial"/>
                <w:sz w:val="12"/>
                <w:szCs w:val="12"/>
              </w:rPr>
            </w:pPr>
          </w:p>
        </w:tc>
        <w:tc>
          <w:tcPr>
            <w:tcW w:w="1795" w:type="pct"/>
            <w:vAlign w:val="center"/>
          </w:tcPr>
          <w:p w14:paraId="63FEEA61"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4DE151F1" w14:textId="77777777" w:rsidTr="00277338">
        <w:tc>
          <w:tcPr>
            <w:tcW w:w="1501" w:type="pct"/>
            <w:vMerge w:val="restart"/>
            <w:vAlign w:val="center"/>
          </w:tcPr>
          <w:p w14:paraId="51011D69" w14:textId="77777777" w:rsidR="003F00DA" w:rsidRPr="009B4047" w:rsidRDefault="003F00DA" w:rsidP="00277338">
            <w:pPr>
              <w:rPr>
                <w:rFonts w:ascii="HendersonSansW00-BasicLight" w:eastAsia="Garamond" w:hAnsi="HendersonSansW00-BasicLight" w:cs="Garamond"/>
                <w:sz w:val="12"/>
                <w:szCs w:val="12"/>
              </w:rPr>
            </w:pPr>
            <w:r>
              <w:rPr>
                <w:rFonts w:ascii="HendersonSansW00-BasicLight" w:eastAsia="Garamond" w:hAnsi="HendersonSansW00-BasicLight" w:cs="Garamond"/>
                <w:sz w:val="12"/>
                <w:szCs w:val="12"/>
              </w:rPr>
              <w:t>5. Experiencia en análisis de capacidad hídrica y capacidad de almacenamiento de sistemas existentes y en uso de los acueductos, con proyecciones de mejoras a 25 años.</w:t>
            </w:r>
          </w:p>
        </w:tc>
        <w:tc>
          <w:tcPr>
            <w:tcW w:w="1704" w:type="pct"/>
            <w:vMerge w:val="restart"/>
            <w:vAlign w:val="center"/>
          </w:tcPr>
          <w:p w14:paraId="32D227C0"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Cantidad de estudios que hayan realizado para el análisis de capacidad hídrica y capacidad de almacenamiento de sistemas existentes y en uso de acueductos, con proyecciones de mejoras a 25 años.</w:t>
            </w:r>
          </w:p>
        </w:tc>
        <w:tc>
          <w:tcPr>
            <w:tcW w:w="1795" w:type="pct"/>
            <w:vAlign w:val="center"/>
          </w:tcPr>
          <w:p w14:paraId="434BCC16"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04ECA0EE" w14:textId="77777777" w:rsidTr="00277338">
        <w:tc>
          <w:tcPr>
            <w:tcW w:w="1501" w:type="pct"/>
            <w:vMerge/>
            <w:vAlign w:val="center"/>
          </w:tcPr>
          <w:p w14:paraId="58115E3F" w14:textId="77777777" w:rsidR="003F00DA" w:rsidRPr="009B4047" w:rsidRDefault="003F00DA" w:rsidP="00277338">
            <w:pPr>
              <w:rPr>
                <w:rFonts w:ascii="HendersonSansW00-BasicLight" w:eastAsia="Garamond" w:hAnsi="HendersonSansW00-BasicLight" w:cs="Garamond"/>
                <w:sz w:val="12"/>
                <w:szCs w:val="12"/>
              </w:rPr>
            </w:pPr>
          </w:p>
        </w:tc>
        <w:tc>
          <w:tcPr>
            <w:tcW w:w="1704" w:type="pct"/>
            <w:vMerge/>
            <w:vAlign w:val="center"/>
          </w:tcPr>
          <w:p w14:paraId="2D596C9B" w14:textId="77777777" w:rsidR="003F00DA" w:rsidRDefault="003F00DA" w:rsidP="00277338">
            <w:pPr>
              <w:pStyle w:val="WW-Predeterminado"/>
              <w:rPr>
                <w:rFonts w:ascii="HendersonSansW00-BasicLight" w:hAnsi="HendersonSansW00-BasicLight" w:cs="Arial"/>
                <w:sz w:val="12"/>
                <w:szCs w:val="12"/>
              </w:rPr>
            </w:pPr>
          </w:p>
        </w:tc>
        <w:tc>
          <w:tcPr>
            <w:tcW w:w="1795" w:type="pct"/>
            <w:vAlign w:val="center"/>
          </w:tcPr>
          <w:p w14:paraId="5AA8485B" w14:textId="77777777" w:rsidR="003F00DA"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1C52E1EB" w14:textId="77777777" w:rsidTr="00277338">
        <w:tc>
          <w:tcPr>
            <w:tcW w:w="1501" w:type="pct"/>
            <w:vMerge w:val="restart"/>
            <w:vAlign w:val="center"/>
          </w:tcPr>
          <w:p w14:paraId="04E68416" w14:textId="77777777" w:rsidR="003F00DA" w:rsidRPr="009B4047" w:rsidRDefault="003F00DA" w:rsidP="00277338">
            <w:pPr>
              <w:rPr>
                <w:rFonts w:ascii="HendersonSansW00-BasicLight" w:eastAsia="Garamond" w:hAnsi="HendersonSansW00-BasicLight" w:cs="Garamond"/>
                <w:sz w:val="12"/>
                <w:szCs w:val="12"/>
              </w:rPr>
            </w:pPr>
            <w:r>
              <w:rPr>
                <w:rFonts w:ascii="HendersonSansW00-BasicLight" w:eastAsia="Garamond" w:hAnsi="HendersonSansW00-BasicLight" w:cs="Garamond"/>
                <w:sz w:val="12"/>
                <w:szCs w:val="12"/>
              </w:rPr>
              <w:t>6. Experiencia en diseño y elaboración de planos de sistemas hidráulicos existentes y de mejoras a realizar a partir de un estudio técnico.</w:t>
            </w:r>
          </w:p>
        </w:tc>
        <w:tc>
          <w:tcPr>
            <w:tcW w:w="1704" w:type="pct"/>
            <w:vMerge w:val="restart"/>
            <w:vAlign w:val="center"/>
          </w:tcPr>
          <w:p w14:paraId="1A65E742"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que hayan realizado diseños y elaboración de planos de sistemas hidráulicos existentes y de mejoras a realizar a partir de un estudio técnico. </w:t>
            </w:r>
          </w:p>
        </w:tc>
        <w:tc>
          <w:tcPr>
            <w:tcW w:w="1795" w:type="pct"/>
            <w:vAlign w:val="center"/>
          </w:tcPr>
          <w:p w14:paraId="52658958"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54BAF5C9" w14:textId="77777777" w:rsidTr="00277338">
        <w:tc>
          <w:tcPr>
            <w:tcW w:w="1501" w:type="pct"/>
            <w:vMerge/>
            <w:vAlign w:val="center"/>
          </w:tcPr>
          <w:p w14:paraId="32B1ABE5" w14:textId="77777777" w:rsidR="003F00DA" w:rsidRPr="009B4047" w:rsidRDefault="003F00DA" w:rsidP="00277338">
            <w:pPr>
              <w:rPr>
                <w:rFonts w:ascii="HendersonSansW00-BasicLight" w:eastAsia="Garamond" w:hAnsi="HendersonSansW00-BasicLight" w:cs="Garamond"/>
                <w:sz w:val="12"/>
                <w:szCs w:val="12"/>
              </w:rPr>
            </w:pPr>
          </w:p>
        </w:tc>
        <w:tc>
          <w:tcPr>
            <w:tcW w:w="1704" w:type="pct"/>
            <w:vMerge/>
            <w:vAlign w:val="center"/>
          </w:tcPr>
          <w:p w14:paraId="651C3A85" w14:textId="77777777" w:rsidR="003F00DA" w:rsidRPr="00D13CA1" w:rsidRDefault="003F00DA" w:rsidP="00277338">
            <w:pPr>
              <w:pStyle w:val="WW-Predeterminado"/>
              <w:rPr>
                <w:rFonts w:ascii="HendersonSansW00-BasicLight" w:hAnsi="HendersonSansW00-BasicLight" w:cs="Arial"/>
                <w:sz w:val="12"/>
                <w:szCs w:val="12"/>
              </w:rPr>
            </w:pPr>
          </w:p>
        </w:tc>
        <w:tc>
          <w:tcPr>
            <w:tcW w:w="1795" w:type="pct"/>
            <w:vAlign w:val="center"/>
          </w:tcPr>
          <w:p w14:paraId="06FDE15A" w14:textId="77777777" w:rsidR="003F00DA"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581D630E" w14:textId="77777777" w:rsidTr="00277338">
        <w:tc>
          <w:tcPr>
            <w:tcW w:w="1501" w:type="pct"/>
            <w:vMerge w:val="restart"/>
            <w:vAlign w:val="center"/>
          </w:tcPr>
          <w:p w14:paraId="237413C9" w14:textId="77777777" w:rsidR="003F00DA" w:rsidRPr="009B4047" w:rsidRDefault="003F00DA" w:rsidP="00277338">
            <w:pPr>
              <w:rPr>
                <w:rFonts w:ascii="HendersonSansW00-BasicLight" w:eastAsia="Garamond" w:hAnsi="HendersonSansW00-BasicLight" w:cs="Garamond"/>
                <w:sz w:val="12"/>
                <w:szCs w:val="12"/>
              </w:rPr>
            </w:pPr>
            <w:r>
              <w:rPr>
                <w:rFonts w:ascii="HendersonSansW00-BasicLight" w:eastAsia="Garamond" w:hAnsi="HendersonSansW00-BasicLight" w:cs="Garamond"/>
                <w:sz w:val="12"/>
                <w:szCs w:val="12"/>
              </w:rPr>
              <w:t>7. Experiencia en elaboración de mapas y figuras con los formatos solicitados en los términos de referencia del AyA.</w:t>
            </w:r>
          </w:p>
        </w:tc>
        <w:tc>
          <w:tcPr>
            <w:tcW w:w="1704" w:type="pct"/>
            <w:vMerge w:val="restart"/>
            <w:vAlign w:val="center"/>
          </w:tcPr>
          <w:p w14:paraId="3727D1D9"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que hayan realizado mapas y figuras con los formatos solicitados en los términos de referencia del AyA. </w:t>
            </w:r>
          </w:p>
        </w:tc>
        <w:tc>
          <w:tcPr>
            <w:tcW w:w="1795" w:type="pct"/>
            <w:vAlign w:val="center"/>
          </w:tcPr>
          <w:p w14:paraId="0DAA44C8"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29BE47D9" w14:textId="77777777" w:rsidTr="00277338">
        <w:tc>
          <w:tcPr>
            <w:tcW w:w="1501" w:type="pct"/>
            <w:vMerge/>
            <w:vAlign w:val="center"/>
          </w:tcPr>
          <w:p w14:paraId="7A6DE4FA" w14:textId="77777777" w:rsidR="003F00DA" w:rsidRPr="009B4047" w:rsidRDefault="003F00DA" w:rsidP="00277338">
            <w:pPr>
              <w:rPr>
                <w:rFonts w:ascii="HendersonSansW00-BasicLight" w:eastAsia="Garamond" w:hAnsi="HendersonSansW00-BasicLight" w:cs="Garamond"/>
                <w:sz w:val="12"/>
                <w:szCs w:val="12"/>
              </w:rPr>
            </w:pPr>
          </w:p>
        </w:tc>
        <w:tc>
          <w:tcPr>
            <w:tcW w:w="1704" w:type="pct"/>
            <w:vMerge/>
            <w:vAlign w:val="center"/>
          </w:tcPr>
          <w:p w14:paraId="64F6434E" w14:textId="77777777" w:rsidR="003F00DA" w:rsidRPr="00D13CA1" w:rsidRDefault="003F00DA" w:rsidP="00277338">
            <w:pPr>
              <w:pStyle w:val="WW-Predeterminado"/>
              <w:rPr>
                <w:rFonts w:ascii="HendersonSansW00-BasicLight" w:hAnsi="HendersonSansW00-BasicLight" w:cs="Arial"/>
                <w:sz w:val="12"/>
                <w:szCs w:val="12"/>
              </w:rPr>
            </w:pPr>
          </w:p>
        </w:tc>
        <w:tc>
          <w:tcPr>
            <w:tcW w:w="1795" w:type="pct"/>
            <w:vAlign w:val="center"/>
          </w:tcPr>
          <w:p w14:paraId="5680E42C"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6199EBFF" w14:textId="77777777" w:rsidTr="00277338">
        <w:tc>
          <w:tcPr>
            <w:tcW w:w="1501" w:type="pct"/>
            <w:vMerge w:val="restart"/>
            <w:vAlign w:val="center"/>
          </w:tcPr>
          <w:p w14:paraId="03D71DD6" w14:textId="77777777" w:rsidR="003F00DA" w:rsidRPr="009B4047" w:rsidRDefault="003F00DA" w:rsidP="00277338">
            <w:pPr>
              <w:rPr>
                <w:rFonts w:ascii="HendersonSansW00-BasicLight" w:hAnsi="HendersonSansW00-BasicLight" w:cs="Arial"/>
                <w:sz w:val="12"/>
                <w:szCs w:val="12"/>
              </w:rPr>
            </w:pPr>
            <w:r>
              <w:rPr>
                <w:rFonts w:ascii="HendersonSansW00-BasicLight" w:eastAsia="Garamond" w:hAnsi="HendersonSansW00-BasicLight" w:cs="Garamond"/>
                <w:sz w:val="12"/>
                <w:szCs w:val="12"/>
              </w:rPr>
              <w:t xml:space="preserve">8. Experiencia en elaboración de especificaciones técnicas de materiales y equipos, teniendo en cuenta parámetros de calidad y según los resultados de un estudio técnico. </w:t>
            </w:r>
          </w:p>
        </w:tc>
        <w:tc>
          <w:tcPr>
            <w:tcW w:w="1704" w:type="pct"/>
            <w:vMerge w:val="restart"/>
            <w:vAlign w:val="center"/>
          </w:tcPr>
          <w:p w14:paraId="6EA05196"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donde hayan elaborado especificaciones técnicas de materiales y equipos según los parámetros de calidad y según los resultados de un estudio técnico. </w:t>
            </w:r>
          </w:p>
        </w:tc>
        <w:tc>
          <w:tcPr>
            <w:tcW w:w="1795" w:type="pct"/>
            <w:vAlign w:val="center"/>
          </w:tcPr>
          <w:p w14:paraId="1766E633"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2566CA09" w14:textId="77777777" w:rsidTr="00277338">
        <w:tc>
          <w:tcPr>
            <w:tcW w:w="1501" w:type="pct"/>
            <w:vMerge/>
            <w:vAlign w:val="center"/>
          </w:tcPr>
          <w:p w14:paraId="68FF7BB0" w14:textId="77777777" w:rsidR="003F00DA" w:rsidRPr="009B4047" w:rsidRDefault="003F00DA" w:rsidP="00277338">
            <w:pPr>
              <w:rPr>
                <w:rFonts w:ascii="HendersonSansW00-BasicLight" w:eastAsia="Garamond" w:hAnsi="HendersonSansW00-BasicLight" w:cs="Garamond"/>
                <w:sz w:val="12"/>
                <w:szCs w:val="12"/>
              </w:rPr>
            </w:pPr>
          </w:p>
        </w:tc>
        <w:tc>
          <w:tcPr>
            <w:tcW w:w="1704" w:type="pct"/>
            <w:vMerge/>
            <w:vAlign w:val="center"/>
          </w:tcPr>
          <w:p w14:paraId="2C38F7EA" w14:textId="77777777" w:rsidR="003F00DA" w:rsidRPr="00D13CA1" w:rsidRDefault="003F00DA" w:rsidP="00277338">
            <w:pPr>
              <w:pStyle w:val="WW-Predeterminado"/>
              <w:rPr>
                <w:rFonts w:ascii="HendersonSansW00-BasicLight" w:hAnsi="HendersonSansW00-BasicLight" w:cs="Arial"/>
                <w:sz w:val="12"/>
                <w:szCs w:val="12"/>
              </w:rPr>
            </w:pPr>
          </w:p>
        </w:tc>
        <w:tc>
          <w:tcPr>
            <w:tcW w:w="1795" w:type="pct"/>
            <w:vAlign w:val="center"/>
          </w:tcPr>
          <w:p w14:paraId="208B91D8"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5C48F2D3" w14:textId="77777777" w:rsidTr="00277338">
        <w:tc>
          <w:tcPr>
            <w:tcW w:w="1501" w:type="pct"/>
            <w:vMerge w:val="restart"/>
            <w:vAlign w:val="center"/>
          </w:tcPr>
          <w:p w14:paraId="73618871" w14:textId="77777777" w:rsidR="003F00DA" w:rsidRPr="009B4047" w:rsidRDefault="003F00DA" w:rsidP="00277338">
            <w:pPr>
              <w:rPr>
                <w:rFonts w:ascii="HendersonSansW00-BasicLight" w:eastAsia="Garamond" w:hAnsi="HendersonSansW00-BasicLight" w:cs="Garamond"/>
                <w:sz w:val="12"/>
                <w:szCs w:val="12"/>
              </w:rPr>
            </w:pPr>
            <w:r>
              <w:rPr>
                <w:rFonts w:ascii="HendersonSansW00-BasicLight" w:eastAsia="Garamond" w:hAnsi="HendersonSansW00-BasicLight" w:cs="Garamond"/>
                <w:sz w:val="12"/>
                <w:szCs w:val="12"/>
              </w:rPr>
              <w:t>9. Experiencia en elaboración de estudios hidrogeológicos según los resultados de perforaciones realizados por el AyA.</w:t>
            </w:r>
          </w:p>
        </w:tc>
        <w:tc>
          <w:tcPr>
            <w:tcW w:w="1704" w:type="pct"/>
            <w:vMerge w:val="restart"/>
            <w:vAlign w:val="center"/>
          </w:tcPr>
          <w:p w14:paraId="7FBC5AB2"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Cantidad de estudios hidrogeológicos elaborados según los resultados de perforaciones realizado por el AyA.</w:t>
            </w:r>
          </w:p>
        </w:tc>
        <w:tc>
          <w:tcPr>
            <w:tcW w:w="1795" w:type="pct"/>
            <w:vAlign w:val="center"/>
          </w:tcPr>
          <w:p w14:paraId="77F06468"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3CEF4F40" w14:textId="77777777" w:rsidTr="00277338">
        <w:tc>
          <w:tcPr>
            <w:tcW w:w="1501" w:type="pct"/>
            <w:vMerge/>
            <w:vAlign w:val="center"/>
          </w:tcPr>
          <w:p w14:paraId="75986B08" w14:textId="77777777" w:rsidR="003F00DA" w:rsidRPr="009B4047" w:rsidRDefault="003F00DA" w:rsidP="00277338">
            <w:pPr>
              <w:rPr>
                <w:rFonts w:ascii="HendersonSansW00-BasicLight" w:eastAsia="Garamond" w:hAnsi="HendersonSansW00-BasicLight" w:cs="Garamond"/>
                <w:sz w:val="12"/>
                <w:szCs w:val="12"/>
              </w:rPr>
            </w:pPr>
          </w:p>
        </w:tc>
        <w:tc>
          <w:tcPr>
            <w:tcW w:w="1704" w:type="pct"/>
            <w:vMerge/>
            <w:vAlign w:val="center"/>
          </w:tcPr>
          <w:p w14:paraId="734EFEB3" w14:textId="77777777" w:rsidR="003F00DA" w:rsidRPr="00D13CA1" w:rsidRDefault="003F00DA" w:rsidP="00277338">
            <w:pPr>
              <w:pStyle w:val="WW-Predeterminado"/>
              <w:rPr>
                <w:rFonts w:ascii="HendersonSansW00-BasicLight" w:hAnsi="HendersonSansW00-BasicLight" w:cs="Arial"/>
                <w:sz w:val="12"/>
                <w:szCs w:val="12"/>
              </w:rPr>
            </w:pPr>
          </w:p>
        </w:tc>
        <w:tc>
          <w:tcPr>
            <w:tcW w:w="1795" w:type="pct"/>
            <w:vAlign w:val="center"/>
          </w:tcPr>
          <w:p w14:paraId="388E0F57"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r w:rsidR="003F00DA" w:rsidRPr="00D13CA1" w14:paraId="6670FC58" w14:textId="77777777" w:rsidTr="00277338">
        <w:tc>
          <w:tcPr>
            <w:tcW w:w="1501" w:type="pct"/>
            <w:vMerge w:val="restart"/>
            <w:vAlign w:val="center"/>
          </w:tcPr>
          <w:p w14:paraId="43C03180" w14:textId="77777777" w:rsidR="003F00DA" w:rsidRPr="009B4047" w:rsidRDefault="003F00DA" w:rsidP="00277338">
            <w:pPr>
              <w:rPr>
                <w:rFonts w:ascii="HendersonSansW00-BasicLight" w:eastAsia="Garamond" w:hAnsi="HendersonSansW00-BasicLight" w:cs="Garamond"/>
                <w:sz w:val="12"/>
                <w:szCs w:val="12"/>
              </w:rPr>
            </w:pPr>
            <w:r>
              <w:rPr>
                <w:rFonts w:ascii="HendersonSansW00-BasicLight" w:eastAsia="Garamond" w:hAnsi="HendersonSansW00-BasicLight" w:cs="Garamond"/>
                <w:sz w:val="12"/>
                <w:szCs w:val="12"/>
              </w:rPr>
              <w:t>10. Experiencia en elaboración de Estudios de Impacto Ambiental de proyectos de acueductos, identificando impactos del proyecto y las medidas de intervención con sus respectivos costos.</w:t>
            </w:r>
          </w:p>
        </w:tc>
        <w:tc>
          <w:tcPr>
            <w:tcW w:w="1704" w:type="pct"/>
            <w:vMerge w:val="restart"/>
            <w:vAlign w:val="center"/>
          </w:tcPr>
          <w:p w14:paraId="3F37E0E1"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 xml:space="preserve">Cantidad de Estudios de Impacto Ambiental elaborados de proyectos de acueductos, donde hayan identificado los impactos del proyecto las medidas de intervención con sus respectivos costos. </w:t>
            </w:r>
          </w:p>
        </w:tc>
        <w:tc>
          <w:tcPr>
            <w:tcW w:w="1795" w:type="pct"/>
            <w:vAlign w:val="center"/>
          </w:tcPr>
          <w:p w14:paraId="5DBAE85C"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1 punto por cada estudio realizado</w:t>
            </w:r>
          </w:p>
        </w:tc>
      </w:tr>
      <w:tr w:rsidR="003F00DA" w:rsidRPr="00D13CA1" w14:paraId="6A4C2587" w14:textId="77777777" w:rsidTr="00277338">
        <w:tc>
          <w:tcPr>
            <w:tcW w:w="1501" w:type="pct"/>
            <w:vMerge/>
            <w:vAlign w:val="center"/>
          </w:tcPr>
          <w:p w14:paraId="178D9D87" w14:textId="77777777" w:rsidR="003F00DA" w:rsidRDefault="003F00DA" w:rsidP="00277338">
            <w:pPr>
              <w:rPr>
                <w:rFonts w:ascii="HendersonSansW00-BasicLight" w:eastAsia="Garamond" w:hAnsi="HendersonSansW00-BasicLight" w:cs="Garamond"/>
                <w:sz w:val="12"/>
                <w:szCs w:val="12"/>
                <w:highlight w:val="yellow"/>
              </w:rPr>
            </w:pPr>
          </w:p>
        </w:tc>
        <w:tc>
          <w:tcPr>
            <w:tcW w:w="1704" w:type="pct"/>
            <w:vMerge/>
            <w:vAlign w:val="center"/>
          </w:tcPr>
          <w:p w14:paraId="2EE10A8D" w14:textId="77777777" w:rsidR="003F00DA" w:rsidRPr="00D13CA1" w:rsidRDefault="003F00DA" w:rsidP="00277338">
            <w:pPr>
              <w:pStyle w:val="WW-Predeterminado"/>
              <w:rPr>
                <w:rFonts w:ascii="HendersonSansW00-BasicLight" w:hAnsi="HendersonSansW00-BasicLight" w:cs="Arial"/>
                <w:sz w:val="12"/>
                <w:szCs w:val="12"/>
              </w:rPr>
            </w:pPr>
          </w:p>
        </w:tc>
        <w:tc>
          <w:tcPr>
            <w:tcW w:w="1795" w:type="pct"/>
            <w:vAlign w:val="center"/>
          </w:tcPr>
          <w:p w14:paraId="0A5E9A25" w14:textId="77777777" w:rsidR="003F00DA" w:rsidRPr="00D13CA1" w:rsidRDefault="003F00DA" w:rsidP="00277338">
            <w:pPr>
              <w:pStyle w:val="WW-Predeterminado"/>
              <w:rPr>
                <w:rFonts w:ascii="HendersonSansW00-BasicLight" w:hAnsi="HendersonSansW00-BasicLight" w:cs="Arial"/>
                <w:sz w:val="12"/>
                <w:szCs w:val="12"/>
              </w:rPr>
            </w:pPr>
            <w:r>
              <w:rPr>
                <w:rFonts w:ascii="HendersonSansW00-BasicLight" w:hAnsi="HendersonSansW00-BasicLight" w:cs="Arial"/>
                <w:sz w:val="12"/>
                <w:szCs w:val="12"/>
              </w:rPr>
              <w:t>Máximo 4 puntos</w:t>
            </w:r>
          </w:p>
        </w:tc>
      </w:tr>
    </w:tbl>
    <w:p w14:paraId="06488CB4" w14:textId="77777777" w:rsidR="003F00DA" w:rsidRPr="00076418" w:rsidRDefault="003F00DA" w:rsidP="003F00DA">
      <w:pPr>
        <w:spacing w:after="120" w:line="240" w:lineRule="auto"/>
        <w:jc w:val="both"/>
        <w:rPr>
          <w:rFonts w:ascii="HendersonSansW00-BasicLight" w:eastAsia="Garamond" w:hAnsi="HendersonSansW00-BasicLight" w:cs="Garamond"/>
          <w:sz w:val="16"/>
          <w:szCs w:val="16"/>
        </w:rPr>
      </w:pPr>
      <w:r>
        <w:rPr>
          <w:rFonts w:ascii="HendersonSansW00-BasicLight" w:eastAsia="Garamond" w:hAnsi="HendersonSansW00-BasicLight" w:cs="Garamond"/>
          <w:sz w:val="16"/>
          <w:szCs w:val="16"/>
        </w:rPr>
        <w:t xml:space="preserve">** Estudios utilizados para el desarrollo de propuestas o recomendaciones. </w:t>
      </w:r>
    </w:p>
    <w:p w14:paraId="284A9502" w14:textId="77777777" w:rsidR="003F00DA" w:rsidRPr="00CF78AF" w:rsidRDefault="003F00DA" w:rsidP="003F00DA">
      <w:pPr>
        <w:keepNext/>
        <w:keepLines/>
        <w:spacing w:after="0" w:line="240" w:lineRule="auto"/>
        <w:ind w:right="49"/>
        <w:jc w:val="both"/>
        <w:rPr>
          <w:rFonts w:ascii="HendersonSansW00-BasicLight" w:eastAsia="Garamond" w:hAnsi="HendersonSansW00-BasicLight" w:cs="Garamond"/>
          <w:bCs/>
        </w:rPr>
      </w:pPr>
      <w:r>
        <w:rPr>
          <w:rFonts w:ascii="HendersonSansW00-BasicLight" w:eastAsia="Garamond" w:hAnsi="HendersonSansW00-BasicLight" w:cs="Garamond"/>
        </w:rPr>
        <w:t>El</w:t>
      </w:r>
      <w:r>
        <w:rPr>
          <w:rFonts w:ascii="HendersonSansW00-BasicLight" w:eastAsia="Garamond" w:hAnsi="HendersonSansW00-BasicLight" w:cs="Garamond"/>
          <w:bCs/>
        </w:rPr>
        <w:t xml:space="preserve"> </w:t>
      </w:r>
      <w:r>
        <w:rPr>
          <w:rFonts w:ascii="HendersonSansW00-BasicLight" w:eastAsia="Garamond" w:hAnsi="HendersonSansW00-BasicLight" w:cs="Garamond"/>
          <w:b/>
          <w:bCs/>
        </w:rPr>
        <w:t>OFERENTE</w:t>
      </w:r>
      <w:r>
        <w:rPr>
          <w:rFonts w:ascii="HendersonSansW00-BasicLight" w:eastAsia="Garamond" w:hAnsi="HendersonSansW00-BasicLight" w:cs="Garamond"/>
          <w:bCs/>
        </w:rPr>
        <w:t xml:space="preserve"> debe presentar una declaración jurada con el nombre del estudio, nombre del contratante y referencias de contacto, así como la constancia de institución que dio el aval del estudio. </w:t>
      </w:r>
    </w:p>
    <w:p w14:paraId="5043295E" w14:textId="77777777" w:rsidR="003F00DA" w:rsidRDefault="003F00DA" w:rsidP="003F00DA">
      <w:pPr>
        <w:keepNext/>
        <w:keepLines/>
        <w:spacing w:after="0" w:line="240" w:lineRule="auto"/>
        <w:ind w:left="-566" w:right="-646"/>
        <w:jc w:val="center"/>
        <w:rPr>
          <w:rFonts w:ascii="HendersonSansW00-BasicLight" w:eastAsia="Garamond" w:hAnsi="HendersonSansW00-BasicLight" w:cs="Garamond"/>
          <w:b/>
          <w:highlight w:val="yellow"/>
        </w:rPr>
      </w:pPr>
    </w:p>
    <w:p w14:paraId="3B96EB77" w14:textId="77777777" w:rsidR="003F00DA" w:rsidRPr="00C85C82" w:rsidRDefault="003F00DA" w:rsidP="003F00DA">
      <w:pPr>
        <w:tabs>
          <w:tab w:val="left" w:pos="708"/>
          <w:tab w:val="left" w:pos="1416"/>
          <w:tab w:val="left" w:pos="2124"/>
          <w:tab w:val="left" w:pos="2832"/>
          <w:tab w:val="left" w:pos="3540"/>
          <w:tab w:val="left" w:pos="4248"/>
          <w:tab w:val="left" w:pos="4905"/>
        </w:tabs>
        <w:spacing w:before="240" w:after="0" w:line="240" w:lineRule="auto"/>
        <w:jc w:val="both"/>
        <w:rPr>
          <w:rFonts w:ascii="HendersonSansW00-BasicLight" w:eastAsia="Garamond" w:hAnsi="HendersonSansW00-BasicLight" w:cs="Garamond"/>
          <w:b/>
        </w:rPr>
      </w:pPr>
      <w:bookmarkStart w:id="20" w:name="_heading=h.1hmsyys" w:colFirst="0" w:colLast="0"/>
      <w:bookmarkEnd w:id="20"/>
      <w:r>
        <w:rPr>
          <w:rFonts w:ascii="HendersonSansW00-BasicLight" w:eastAsia="Garamond" w:hAnsi="HendersonSansW00-BasicLight" w:cs="Garamond"/>
          <w:b/>
        </w:rPr>
        <w:t>Consultores preseleccionados:</w:t>
      </w:r>
    </w:p>
    <w:p w14:paraId="27D418C9" w14:textId="77777777" w:rsidR="003F00DA" w:rsidRPr="00C85C82" w:rsidRDefault="003F00DA" w:rsidP="003F00DA">
      <w:pP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Efectuado el estudio de los antecedentes preliminares y otorgado un puntaje a cada aspecto evaluado, se efectuará la sumatoria de los mismos para obtener el puntaje total del </w:t>
      </w:r>
      <w:r>
        <w:rPr>
          <w:rFonts w:ascii="HendersonSansW00-BasicLight" w:eastAsia="Garamond" w:hAnsi="HendersonSansW00-BasicLight" w:cs="Garamond"/>
          <w:b/>
        </w:rPr>
        <w:t>OFERENTE</w:t>
      </w:r>
      <w:r>
        <w:rPr>
          <w:rFonts w:ascii="HendersonSansW00-BasicLight" w:eastAsia="Garamond" w:hAnsi="HendersonSansW00-BasicLight" w:cs="Garamond"/>
        </w:rPr>
        <w:t xml:space="preserve"> y la calificación final. </w:t>
      </w:r>
    </w:p>
    <w:p w14:paraId="0EC7A7B8" w14:textId="77777777" w:rsidR="003F00DA" w:rsidRPr="00C85C82" w:rsidRDefault="003F00DA" w:rsidP="003F00DA">
      <w:pP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Se preseleccionará de dos (2) a seis (6) firmas con las mejores calificaciones, a los que se invitará a presentar propuestas técnicas y económicas formales.</w:t>
      </w:r>
    </w:p>
    <w:p w14:paraId="1C7A0960" w14:textId="77777777" w:rsidR="003F00DA" w:rsidRPr="00C85C82" w:rsidRDefault="003F00DA" w:rsidP="003F00DA">
      <w:pPr>
        <w:spacing w:before="120" w:after="120" w:line="240" w:lineRule="auto"/>
        <w:jc w:val="both"/>
        <w:rPr>
          <w:rFonts w:ascii="HendersonSansW00-BasicLight" w:eastAsia="Garamond" w:hAnsi="HendersonSansW00-BasicLight" w:cs="Garamond"/>
        </w:rPr>
      </w:pPr>
      <w:r>
        <w:rPr>
          <w:rFonts w:ascii="HendersonSansW00-BasicLight" w:eastAsia="Garamond" w:hAnsi="HendersonSansW00-BasicLight" w:cs="Garamond"/>
        </w:rPr>
        <w:t xml:space="preserve">La nota mínima aceptada para esta precalificación será de 70 puntos. Sin embargo, la </w:t>
      </w:r>
      <w:r>
        <w:rPr>
          <w:rFonts w:ascii="HendersonSansW00-BasicLight" w:eastAsia="Garamond" w:hAnsi="HendersonSansW00-BasicLight" w:cs="Garamond"/>
          <w:b/>
        </w:rPr>
        <w:t>COMISIÓN CALIFICADORA</w:t>
      </w:r>
      <w:r>
        <w:rPr>
          <w:rFonts w:ascii="HendersonSansW00-BasicLight" w:eastAsia="Garamond" w:hAnsi="HendersonSansW00-BasicLight" w:cs="Garamond"/>
        </w:rPr>
        <w:t xml:space="preserve"> podrá disminuir a 60 puntos de no alcanzarse la nota mínima antes citada. </w:t>
      </w:r>
    </w:p>
    <w:p w14:paraId="10C65EF3" w14:textId="77777777" w:rsidR="003F00DA" w:rsidRPr="00C85C82" w:rsidRDefault="003F00DA" w:rsidP="003F00DA">
      <w:pPr>
        <w:spacing w:after="0" w:line="240" w:lineRule="auto"/>
        <w:jc w:val="both"/>
        <w:rPr>
          <w:rFonts w:ascii="HendersonSansW00-BasicLight" w:eastAsia="Garamond" w:hAnsi="HendersonSansW00-BasicLight" w:cs="Garamond"/>
        </w:rPr>
      </w:pPr>
      <w:r>
        <w:rPr>
          <w:rFonts w:ascii="HendersonSansW00-BasicLight" w:eastAsia="Garamond" w:hAnsi="HendersonSansW00-BasicLight" w:cs="Garamond"/>
        </w:rPr>
        <w:t>De existir igualdad en puntos entre dos o más oferentes en sus respectivas evaluaciones, se debe de cumplir con lo señalado con el artículo 97 del Reglamento a la Ley General de Contratación Pública.</w:t>
      </w:r>
    </w:p>
    <w:p w14:paraId="25355729" w14:textId="77777777" w:rsidR="003F00DA" w:rsidRPr="00DC2871" w:rsidRDefault="003F00DA" w:rsidP="003F00DA">
      <w:pPr>
        <w:keepNext/>
        <w:keepLines/>
        <w:spacing w:before="480" w:after="0" w:line="240" w:lineRule="auto"/>
        <w:rPr>
          <w:rFonts w:ascii="HendersonSansW00-BasicLight" w:eastAsia="Garamond" w:hAnsi="HendersonSansW00-BasicLight" w:cs="Garamond"/>
          <w:b/>
        </w:rPr>
      </w:pPr>
    </w:p>
    <w:p w14:paraId="0A5D934B" w14:textId="77777777" w:rsidR="003F00DA" w:rsidRDefault="003F00DA" w:rsidP="003F00DA"/>
    <w:p w14:paraId="117FD7E9" w14:textId="77777777" w:rsidR="00B853B5" w:rsidRPr="00B853B5" w:rsidRDefault="00B853B5" w:rsidP="00B853B5">
      <w:pPr>
        <w:spacing w:after="0" w:line="360" w:lineRule="auto"/>
        <w:jc w:val="center"/>
        <w:rPr>
          <w:rFonts w:ascii="Garamond" w:eastAsia="Times New Roman" w:hAnsi="Garamond" w:cs="Arial"/>
          <w:b/>
          <w:lang w:val="es-ES_tradnl" w:eastAsia="es-ES"/>
        </w:rPr>
      </w:pPr>
    </w:p>
    <w:p w14:paraId="708AC435" w14:textId="06891F37" w:rsidR="00B853B5" w:rsidRPr="00B853B5" w:rsidRDefault="00B853B5" w:rsidP="00B853B5">
      <w:pPr>
        <w:spacing w:after="0" w:line="360" w:lineRule="auto"/>
        <w:jc w:val="center"/>
        <w:rPr>
          <w:rFonts w:ascii="Garamond" w:eastAsia="Times New Roman" w:hAnsi="Garamond" w:cs="Arial"/>
          <w:b/>
          <w:lang w:val="es-ES_tradnl" w:eastAsia="es-ES"/>
        </w:rPr>
      </w:pPr>
      <w:r w:rsidRPr="00B853B5">
        <w:rPr>
          <w:rFonts w:ascii="Garamond" w:eastAsia="Times New Roman" w:hAnsi="Garamond" w:cs="Arial"/>
          <w:b/>
          <w:lang w:val="es-ES_tradnl" w:eastAsia="es-ES"/>
        </w:rPr>
        <w:br w:type="page"/>
      </w:r>
      <w:r w:rsidRPr="00B853B5">
        <w:rPr>
          <w:rFonts w:ascii="Garamond" w:eastAsia="Times New Roman" w:hAnsi="Garamond" w:cs="Arial"/>
          <w:b/>
          <w:lang w:val="es-ES_tradnl" w:eastAsia="es-ES"/>
        </w:rPr>
        <w:lastRenderedPageBreak/>
        <w:t>ANEXO n°</w:t>
      </w:r>
      <w:r>
        <w:rPr>
          <w:rFonts w:ascii="Garamond" w:eastAsia="Times New Roman" w:hAnsi="Garamond" w:cs="Arial"/>
          <w:b/>
          <w:lang w:val="es-ES_tradnl" w:eastAsia="es-ES"/>
        </w:rPr>
        <w:t>4</w:t>
      </w:r>
    </w:p>
    <w:p w14:paraId="169618CC" w14:textId="77777777" w:rsidR="00B853B5" w:rsidRPr="00B853B5" w:rsidRDefault="00B853B5" w:rsidP="00B853B5">
      <w:pPr>
        <w:spacing w:after="0" w:line="360" w:lineRule="auto"/>
        <w:jc w:val="center"/>
        <w:rPr>
          <w:rFonts w:ascii="Garamond" w:eastAsia="Times New Roman" w:hAnsi="Garamond" w:cs="Arial"/>
          <w:b/>
          <w:lang w:val="es-ES_tradnl" w:eastAsia="es-ES"/>
        </w:rPr>
      </w:pPr>
      <w:r w:rsidRPr="00B853B5">
        <w:rPr>
          <w:rFonts w:ascii="Garamond" w:eastAsia="Times New Roman" w:hAnsi="Garamond" w:cs="Arial"/>
          <w:b/>
          <w:lang w:val="es-ES_tradnl" w:eastAsia="es-ES"/>
        </w:rPr>
        <w:t>TERMINOS DE REFERENCIA</w:t>
      </w:r>
    </w:p>
    <w:p w14:paraId="1742012F"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INTRODUCCIÓN</w:t>
      </w:r>
    </w:p>
    <w:p w14:paraId="5A342EF5" w14:textId="77777777" w:rsidR="00B853B5" w:rsidRPr="00B853B5" w:rsidRDefault="00B853B5" w:rsidP="00B853B5">
      <w:pPr>
        <w:tabs>
          <w:tab w:val="left" w:pos="426"/>
        </w:tabs>
        <w:spacing w:before="120" w:after="0" w:line="240" w:lineRule="auto"/>
        <w:jc w:val="both"/>
        <w:rPr>
          <w:rFonts w:ascii="Garamond" w:eastAsia="Times New Roman" w:hAnsi="Garamond" w:cs="Arial"/>
          <w:b/>
          <w:lang w:val="es-ES_tradnl" w:eastAsia="es-ES"/>
        </w:rPr>
      </w:pPr>
    </w:p>
    <w:p w14:paraId="1EFA406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Este proyecto tiene como objetivo satisfacer la necesidad y solucionar el problema de dotación de agua potable en varias comunidades de los distritos de Volcán, Brunka, Biolley, Potrero Grande y Pilas de Buenos Aires, Puntarenas. De esta manera, se estará alineando con los objetivos estratégicos de las organizaciones comunales de este cantón, lo cual dará valor a la gestión. </w:t>
      </w:r>
    </w:p>
    <w:p w14:paraId="0185694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62411D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proyecto estará dentro del grupo del Sistema Nacional de Inversión Pública denominado como Infraestructura pública crítica, conjunto de redes y sistemas de agua indispensables para mantener la soberanía y funcionamiento social-económico y la salud del país y en especial de la región (Decreto Ejecutivo 42465-MOPT-MINAE-MIVAH).</w:t>
      </w:r>
    </w:p>
    <w:p w14:paraId="60CE6C6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A20BED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Como el proyecto es de interés público, se definen en este documento todas las variables que pueden existir para dar la solución a la situación planteada, lo cual además permita a los encargados tomar una decisión informada y poder determinar la conveniencia de este proyecto. </w:t>
      </w:r>
    </w:p>
    <w:p w14:paraId="05465D1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76E993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esta etapa de proyecto se recopila información de origen primario, y que sirve de referencia para el desarrollo del mismo, a realizar tales como estudios de campo, entrevistas, estudios específicos, entre otros, en la etapa correspondiente de construcción y ejecución. </w:t>
      </w:r>
    </w:p>
    <w:p w14:paraId="68F8CCF6"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2BDBEE7B"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Nombre del Estudio</w:t>
      </w:r>
    </w:p>
    <w:p w14:paraId="2F58BADA"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7A0512A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Estudios Técnicos para la elaboración de planos, diseños y presupuesto según los términos de referencia del AyA, para la infraestructura hídrica de las Asociaciones Administradoras de los Sistemas de Acueductos y Alcantarillados Comunales (ASADAS), en los distritos de Volcán, Brunka, Biolley, Potrero Grande y Pilas del Cantón de Buenos Aires, Puntarenas.</w:t>
      </w:r>
    </w:p>
    <w:p w14:paraId="2FAACD72" w14:textId="77777777" w:rsidR="00B853B5" w:rsidRPr="00B853B5" w:rsidRDefault="00B853B5" w:rsidP="00B853B5">
      <w:pPr>
        <w:spacing w:after="0" w:line="240" w:lineRule="auto"/>
        <w:jc w:val="both"/>
        <w:rPr>
          <w:rFonts w:ascii="Garamond" w:eastAsia="Garamond" w:hAnsi="Garamond" w:cs="Garamond"/>
          <w:b/>
          <w:lang w:val="es-ES_tradnl" w:eastAsia="es-ES"/>
        </w:rPr>
      </w:pPr>
      <w:bookmarkStart w:id="21" w:name="_Toc158296387"/>
      <w:r w:rsidRPr="00B853B5">
        <w:rPr>
          <w:rFonts w:ascii="Garamond" w:eastAsia="Garamond" w:hAnsi="Garamond" w:cs="Garamond"/>
          <w:b/>
          <w:lang w:val="es-ES_tradnl" w:eastAsia="es-ES"/>
        </w:rPr>
        <w:t>Área del proyecto</w:t>
      </w:r>
      <w:bookmarkEnd w:id="21"/>
    </w:p>
    <w:p w14:paraId="46984A4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B668B04"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Geográficamente el territorio Buenos Aires, se ubica al sur del territorio nacional. Pertenece a la Región Brunca del país, la cual está ubicada hacia el sureste de San José, en la zona fronteriza con Panamá.</w:t>
      </w:r>
    </w:p>
    <w:p w14:paraId="07EFF0A6" w14:textId="77777777" w:rsidR="00B853B5" w:rsidRPr="00B853B5" w:rsidRDefault="00B853B5" w:rsidP="00B853B5">
      <w:pPr>
        <w:spacing w:after="0" w:line="240" w:lineRule="auto"/>
        <w:jc w:val="center"/>
        <w:rPr>
          <w:rFonts w:ascii="Garamond" w:eastAsia="Garamond" w:hAnsi="Garamond" w:cs="Garamond"/>
          <w:i/>
          <w:lang w:val="es-ES_tradnl" w:eastAsia="es-ES"/>
        </w:rPr>
      </w:pPr>
      <w:bookmarkStart w:id="22" w:name="_Toc158296350"/>
    </w:p>
    <w:p w14:paraId="1AEFBBC4" w14:textId="753BB22A"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Ubicación del Cantón de Buenos Aires</w:t>
      </w:r>
      <w:bookmarkEnd w:id="22"/>
    </w:p>
    <w:p w14:paraId="7A030F2A" w14:textId="0FF42C41"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noProof/>
        </w:rPr>
        <w:drawing>
          <wp:inline distT="0" distB="0" distL="0" distR="0" wp14:anchorId="087B96DD" wp14:editId="347BC73D">
            <wp:extent cx="2545080" cy="2258695"/>
            <wp:effectExtent l="0" t="0" r="7620" b="8255"/>
            <wp:docPr id="1347267913"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5080" cy="2258695"/>
                    </a:xfrm>
                    <a:prstGeom prst="rect">
                      <a:avLst/>
                    </a:prstGeom>
                    <a:noFill/>
                    <a:ln>
                      <a:noFill/>
                    </a:ln>
                  </pic:spPr>
                </pic:pic>
              </a:graphicData>
            </a:graphic>
          </wp:inline>
        </w:drawing>
      </w:r>
    </w:p>
    <w:p w14:paraId="6269AA9A"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Fuente: Recuperado en 10/11/2023 de </w:t>
      </w:r>
      <w:hyperlink r:id="rId13" w:history="1">
        <w:r w:rsidRPr="00B853B5">
          <w:rPr>
            <w:rFonts w:ascii="Garamond" w:eastAsia="Garamond" w:hAnsi="Garamond" w:cs="Garamond"/>
            <w:i/>
            <w:lang w:val="es-ES_tradnl" w:eastAsia="es-ES"/>
          </w:rPr>
          <w:t>https://es.wikipedia.org/wiki/Cant%C3%B3n_de_Buenos_Aires</w:t>
        </w:r>
      </w:hyperlink>
    </w:p>
    <w:p w14:paraId="0AC2C8F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DA4583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 xml:space="preserve">El cantón de Buenos Aires, se localiza en las coordenadas geográficas medias 9° 05’ 20” latitud norte y 83° 16’ 07” longitud oeste. </w:t>
      </w:r>
    </w:p>
    <w:p w14:paraId="54D9F1F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823F6B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Extensión cantonal: 2.384,22 km2 y una altitud media de 405 m.s.n.m.</w:t>
      </w:r>
    </w:p>
    <w:p w14:paraId="26BD3CA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4CC888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Buenos Aires es el tercer cantón de la provincia de Puntarenas, Costa Rica y el cuarto en extensión territorial del país. Cuenta con 9 distritos, su cabecera de cantón es Buenos Aires y se ubica aproximadamente a unos 196 km de San José (ciudad capital). </w:t>
      </w:r>
    </w:p>
    <w:p w14:paraId="759F06F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0DB6D6C" w14:textId="3B2ECD5D" w:rsidR="00B853B5" w:rsidRPr="00B853B5" w:rsidRDefault="00B853B5" w:rsidP="00B853B5">
      <w:pPr>
        <w:spacing w:after="0" w:line="240" w:lineRule="auto"/>
        <w:jc w:val="center"/>
        <w:rPr>
          <w:rFonts w:ascii="Garamond" w:eastAsia="Garamond" w:hAnsi="Garamond" w:cs="Garamond"/>
          <w:i/>
          <w:lang w:val="es-ES_tradnl" w:eastAsia="es-ES"/>
        </w:rPr>
      </w:pPr>
      <w:bookmarkStart w:id="23" w:name="_Toc158296351"/>
      <w:bookmarkStart w:id="24" w:name="_Toc357588764"/>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2</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Ubicación geográfica de la división política del Cantón de Buenos Aires de Puntarenas</w:t>
      </w:r>
      <w:bookmarkEnd w:id="23"/>
      <w:bookmarkEnd w:id="24"/>
    </w:p>
    <w:p w14:paraId="2D01C8E3" w14:textId="7DF3DF8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Times New Roman" w:hAnsi="Garamond" w:cs="Times New Roman"/>
          <w:noProof/>
        </w:rPr>
        <w:drawing>
          <wp:anchor distT="0" distB="0" distL="114300" distR="114300" simplePos="0" relativeHeight="251659264" behindDoc="0" locked="0" layoutInCell="1" allowOverlap="1" wp14:anchorId="2E060A76" wp14:editId="35C9133D">
            <wp:simplePos x="0" y="0"/>
            <wp:positionH relativeFrom="margin">
              <wp:posOffset>5715</wp:posOffset>
            </wp:positionH>
            <wp:positionV relativeFrom="paragraph">
              <wp:posOffset>80010</wp:posOffset>
            </wp:positionV>
            <wp:extent cx="5605780" cy="4446905"/>
            <wp:effectExtent l="0" t="0" r="0" b="0"/>
            <wp:wrapNone/>
            <wp:docPr id="1671123675"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4">
                      <a:extLst>
                        <a:ext uri="{28A0092B-C50C-407E-A947-70E740481C1C}">
                          <a14:useLocalDpi xmlns:a14="http://schemas.microsoft.com/office/drawing/2010/main" val="0"/>
                        </a:ext>
                      </a:extLst>
                    </a:blip>
                    <a:srcRect l="5354" t="2643" r="1868" b="3580"/>
                    <a:stretch>
                      <a:fillRect/>
                    </a:stretch>
                  </pic:blipFill>
                  <pic:spPr bwMode="auto">
                    <a:xfrm>
                      <a:off x="0" y="0"/>
                      <a:ext cx="5605780" cy="4446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481A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E6EF80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22DF0E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77F5E8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C5B2D8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0ED5F0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D62FC4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975629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753642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536730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4E7B03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760955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F4EC0A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B42163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15B41B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4F55F2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4511CB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6C64F9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0E87B3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1CCF17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E58F48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5AA51D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2115FD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F95CB2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09FD5DD"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Geógrafa Catalina Vargas, SIG 2013.</w:t>
      </w:r>
    </w:p>
    <w:p w14:paraId="5EDC3D53" w14:textId="77777777" w:rsidR="00B853B5" w:rsidRPr="00B853B5" w:rsidRDefault="00B853B5" w:rsidP="00B853B5">
      <w:pPr>
        <w:spacing w:after="0" w:line="240" w:lineRule="auto"/>
        <w:jc w:val="both"/>
        <w:rPr>
          <w:rFonts w:ascii="Garamond" w:hAnsi="Garamond" w:cs="Times New Roman"/>
          <w:lang w:val="es-ES_tradnl" w:eastAsia="es-ES"/>
        </w:rPr>
      </w:pPr>
    </w:p>
    <w:p w14:paraId="42298247" w14:textId="77777777" w:rsidR="00B853B5" w:rsidRPr="00B853B5" w:rsidRDefault="00B853B5" w:rsidP="00B853B5">
      <w:pPr>
        <w:numPr>
          <w:ilvl w:val="0"/>
          <w:numId w:val="20"/>
        </w:numPr>
        <w:spacing w:after="0" w:line="240" w:lineRule="auto"/>
        <w:contextualSpacing/>
        <w:jc w:val="both"/>
        <w:rPr>
          <w:rFonts w:ascii="Garamond" w:eastAsia="Garamond" w:hAnsi="Garamond" w:cs="Garamond"/>
          <w:b/>
          <w:lang w:val="es-ES" w:eastAsia="en-US"/>
        </w:rPr>
      </w:pPr>
      <w:bookmarkStart w:id="25" w:name="_Toc158296388"/>
      <w:r w:rsidRPr="00B853B5">
        <w:rPr>
          <w:rFonts w:ascii="Garamond" w:eastAsia="Garamond" w:hAnsi="Garamond" w:cs="Garamond"/>
          <w:b/>
          <w:lang w:val="es-ES" w:eastAsia="en-US"/>
        </w:rPr>
        <w:t xml:space="preserve">Características físicas de la zona </w:t>
      </w:r>
      <w:r w:rsidRPr="00B853B5">
        <w:rPr>
          <w:rFonts w:ascii="Garamond" w:hAnsi="Garamond" w:cs="Times New Roman"/>
          <w:b/>
          <w:vertAlign w:val="superscript"/>
          <w:lang w:val="es-ES" w:eastAsia="en-US"/>
        </w:rPr>
        <w:footnoteReference w:id="1"/>
      </w:r>
      <w:bookmarkEnd w:id="25"/>
    </w:p>
    <w:p w14:paraId="4D77B190" w14:textId="77777777" w:rsidR="00B853B5" w:rsidRPr="00B853B5" w:rsidRDefault="00B853B5" w:rsidP="00B853B5">
      <w:pPr>
        <w:spacing w:after="0" w:line="240" w:lineRule="auto"/>
        <w:ind w:left="720"/>
        <w:contextualSpacing/>
        <w:jc w:val="both"/>
        <w:rPr>
          <w:rFonts w:ascii="Garamond" w:eastAsia="Garamond" w:hAnsi="Garamond" w:cs="Garamond"/>
          <w:b/>
          <w:lang w:val="es-ES" w:eastAsia="en-US"/>
        </w:rPr>
      </w:pPr>
    </w:p>
    <w:p w14:paraId="03E3BE0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2FCD3E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Una de sus mayores riquezas naturales es la amplia red fluvial que atraviesa el territorio: cuencas y subcuencas del Río Grande de Térraba, cuyos caudales y márgenes son aprovechados para varias actividades productivas. También es atravesado por sectores montañosos de la Cordillera de Talamanca. </w:t>
      </w:r>
    </w:p>
    <w:p w14:paraId="485B015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64F431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Administrativamente limita con varios cantones: hacia el norte con Talamanca (Limón) y Pérez Zeledón (San José), hacia el sur con Osa, Golfito y Coto Brus (Puntarenas), al oeste con Pérez Zeledón y al este con Talamanca y Coto Brus. </w:t>
      </w:r>
    </w:p>
    <w:p w14:paraId="09CCC29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F50CA8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cantón se divide en 9 distritos los cuales son: </w:t>
      </w:r>
    </w:p>
    <w:p w14:paraId="297784E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9333BAE"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Buenos Aires</w:t>
      </w:r>
    </w:p>
    <w:p w14:paraId="6D857C44"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Volcán</w:t>
      </w:r>
    </w:p>
    <w:p w14:paraId="34FD38C9"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Potrero Grande</w:t>
      </w:r>
    </w:p>
    <w:p w14:paraId="71784910"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Boruca</w:t>
      </w:r>
    </w:p>
    <w:p w14:paraId="2E97E70C"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Pilas</w:t>
      </w:r>
    </w:p>
    <w:p w14:paraId="14877122"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Colinas</w:t>
      </w:r>
    </w:p>
    <w:p w14:paraId="2B0BDA8D"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Chánguena</w:t>
      </w:r>
    </w:p>
    <w:p w14:paraId="00CC2BB8"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Biolley</w:t>
      </w:r>
    </w:p>
    <w:p w14:paraId="33B5D2D0" w14:textId="77777777" w:rsidR="00B853B5" w:rsidRPr="00B853B5" w:rsidRDefault="00B853B5" w:rsidP="00B853B5">
      <w:pPr>
        <w:numPr>
          <w:ilvl w:val="0"/>
          <w:numId w:val="21"/>
        </w:numPr>
        <w:spacing w:after="0" w:line="240" w:lineRule="auto"/>
        <w:contextualSpacing/>
        <w:rPr>
          <w:rFonts w:ascii="Garamond" w:eastAsia="Garamond" w:hAnsi="Garamond" w:cs="Garamond"/>
          <w:lang w:val="es-ES" w:eastAsia="en-US"/>
        </w:rPr>
      </w:pPr>
      <w:r w:rsidRPr="00B853B5">
        <w:rPr>
          <w:rFonts w:ascii="Garamond" w:eastAsia="Garamond" w:hAnsi="Garamond" w:cs="Garamond"/>
          <w:lang w:val="es-ES" w:eastAsia="en-US"/>
        </w:rPr>
        <w:t>Brunka</w:t>
      </w:r>
    </w:p>
    <w:p w14:paraId="61654C67" w14:textId="77777777" w:rsidR="00B853B5" w:rsidRPr="00B853B5" w:rsidRDefault="00B853B5" w:rsidP="00B853B5">
      <w:pPr>
        <w:spacing w:after="0" w:line="240" w:lineRule="auto"/>
        <w:ind w:left="720"/>
        <w:contextualSpacing/>
        <w:rPr>
          <w:rFonts w:ascii="Garamond" w:eastAsia="Garamond" w:hAnsi="Garamond" w:cs="Garamond"/>
          <w:lang w:val="es-ES" w:eastAsia="en-US"/>
        </w:rPr>
      </w:pPr>
    </w:p>
    <w:p w14:paraId="063104C5" w14:textId="2B234CFC" w:rsidR="00B853B5" w:rsidRPr="00B853B5" w:rsidRDefault="00B853B5" w:rsidP="00B853B5">
      <w:pPr>
        <w:spacing w:after="0" w:line="240" w:lineRule="auto"/>
        <w:jc w:val="center"/>
        <w:rPr>
          <w:rFonts w:ascii="Garamond" w:eastAsia="Garamond" w:hAnsi="Garamond" w:cs="Garamond"/>
          <w:i/>
          <w:lang w:val="es-ES_tradnl" w:eastAsia="es-ES"/>
        </w:rPr>
      </w:pPr>
      <w:bookmarkStart w:id="26" w:name="_Toc158296352"/>
      <w:bookmarkStart w:id="27" w:name="_Toc67657578"/>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3</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Mapa de los Distritos de Buenos Aires</w:t>
      </w:r>
      <w:bookmarkEnd w:id="26"/>
      <w:bookmarkEnd w:id="27"/>
    </w:p>
    <w:p w14:paraId="2190A03B" w14:textId="77777777" w:rsidR="00B853B5" w:rsidRPr="00B853B5" w:rsidRDefault="00B853B5" w:rsidP="00B853B5">
      <w:pPr>
        <w:spacing w:after="0" w:line="240" w:lineRule="auto"/>
        <w:jc w:val="center"/>
        <w:rPr>
          <w:rFonts w:ascii="Garamond" w:eastAsia="Garamond" w:hAnsi="Garamond" w:cs="Garamond"/>
          <w:i/>
          <w:lang w:val="es-ES_tradnl" w:eastAsia="es-ES"/>
        </w:rPr>
      </w:pPr>
    </w:p>
    <w:p w14:paraId="445FC6C8" w14:textId="45429EB7" w:rsidR="00B853B5" w:rsidRPr="00B853B5" w:rsidRDefault="00B853B5" w:rsidP="00B853B5">
      <w:pPr>
        <w:spacing w:after="0" w:line="240" w:lineRule="auto"/>
        <w:jc w:val="center"/>
        <w:rPr>
          <w:rFonts w:ascii="Garamond" w:eastAsia="Times New Roman" w:hAnsi="Garamond" w:cs="Times New Roman"/>
          <w:b/>
          <w:lang w:val="es-ES_tradnl" w:eastAsia="es-ES"/>
        </w:rPr>
      </w:pPr>
      <w:r w:rsidRPr="00B853B5">
        <w:rPr>
          <w:rFonts w:ascii="Garamond" w:eastAsia="Times New Roman" w:hAnsi="Garamond" w:cs="Times New Roman"/>
          <w:b/>
          <w:noProof/>
          <w:color w:val="000000"/>
        </w:rPr>
        <w:drawing>
          <wp:inline distT="0" distB="0" distL="0" distR="0" wp14:anchorId="08575FF3" wp14:editId="010F728E">
            <wp:extent cx="4360545" cy="3023235"/>
            <wp:effectExtent l="0" t="0" r="1905" b="5715"/>
            <wp:docPr id="728589305" name="Imagen 33" descr="canton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anton buenos air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60545" cy="3023235"/>
                    </a:xfrm>
                    <a:prstGeom prst="rect">
                      <a:avLst/>
                    </a:prstGeom>
                    <a:noFill/>
                    <a:ln>
                      <a:noFill/>
                    </a:ln>
                  </pic:spPr>
                </pic:pic>
              </a:graphicData>
            </a:graphic>
          </wp:inline>
        </w:drawing>
      </w:r>
    </w:p>
    <w:p w14:paraId="2959CE35"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Municipalidad de Buenos Aires.</w:t>
      </w:r>
      <w:bookmarkStart w:id="28" w:name="_Toc66438882"/>
      <w:bookmarkStart w:id="29" w:name="_Toc434993942"/>
      <w:bookmarkStart w:id="30" w:name="_Toc434993333"/>
      <w:bookmarkStart w:id="31" w:name="_Toc434862881"/>
      <w:bookmarkEnd w:id="28"/>
      <w:bookmarkEnd w:id="29"/>
      <w:bookmarkEnd w:id="30"/>
      <w:bookmarkEnd w:id="31"/>
    </w:p>
    <w:p w14:paraId="7548A224" w14:textId="77777777" w:rsidR="00B853B5" w:rsidRPr="00B853B5" w:rsidRDefault="00B853B5" w:rsidP="00B853B5">
      <w:pPr>
        <w:spacing w:after="0" w:line="240" w:lineRule="auto"/>
        <w:jc w:val="center"/>
        <w:rPr>
          <w:rFonts w:ascii="Garamond" w:eastAsia="Times New Roman" w:hAnsi="Garamond" w:cs="Arial"/>
          <w:i/>
          <w:color w:val="000000"/>
          <w:lang w:val="es-ES_tradnl" w:eastAsia="es-ES"/>
        </w:rPr>
      </w:pPr>
    </w:p>
    <w:p w14:paraId="7E812594"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32" w:name="_Toc158296391"/>
      <w:r w:rsidRPr="00B853B5">
        <w:rPr>
          <w:rFonts w:ascii="Garamond" w:eastAsia="Garamond" w:hAnsi="Garamond" w:cs="Garamond"/>
          <w:b/>
          <w:lang w:val="es-ES" w:eastAsia="en-US"/>
        </w:rPr>
        <w:t>Caracterización socioeconómica</w:t>
      </w:r>
      <w:r w:rsidRPr="00B853B5">
        <w:rPr>
          <w:rFonts w:ascii="Garamond" w:eastAsia="Garamond" w:hAnsi="Garamond" w:cs="Garamond"/>
          <w:b/>
          <w:vertAlign w:val="superscript"/>
          <w:lang w:val="es-ES" w:eastAsia="en-US"/>
        </w:rPr>
        <w:footnoteReference w:id="2"/>
      </w:r>
      <w:bookmarkEnd w:id="32"/>
    </w:p>
    <w:p w14:paraId="3B8B8B30" w14:textId="77777777" w:rsidR="00B853B5" w:rsidRPr="00B853B5" w:rsidRDefault="00B853B5" w:rsidP="00B853B5">
      <w:pPr>
        <w:spacing w:after="0" w:line="240" w:lineRule="auto"/>
        <w:rPr>
          <w:rFonts w:ascii="Garamond" w:eastAsia="Times New Roman" w:hAnsi="Garamond" w:cs="Times New Roman"/>
          <w:lang w:val="es-ES_tradnl" w:eastAsia="es-ES"/>
        </w:rPr>
      </w:pPr>
    </w:p>
    <w:p w14:paraId="736783F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Todos los cantones en Costa Rica tienen un Índice de Desarrollo Humano (IDH) que muestra la posibilidad de su población de tener una vida de calidad. En el caso del cantón de Buenos Aires, esta medición estima el progreso de un territorio con base en tres dimensiones, que señalan los valores máximos, medios y bajos, para promediar el avance en la calidad de vida a nivel cantonal:</w:t>
      </w:r>
    </w:p>
    <w:p w14:paraId="653F225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214CAF4"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Vida prolongada y saludable (Esperanza de vida):</w:t>
      </w:r>
    </w:p>
    <w:tbl>
      <w:tblPr>
        <w:tblW w:w="0" w:type="auto"/>
        <w:tblInd w:w="1980" w:type="dxa"/>
        <w:tblLook w:val="04A0" w:firstRow="1" w:lastRow="0" w:firstColumn="1" w:lastColumn="0" w:noHBand="0" w:noVBand="1"/>
      </w:tblPr>
      <w:tblGrid>
        <w:gridCol w:w="1559"/>
        <w:gridCol w:w="1559"/>
        <w:gridCol w:w="1560"/>
      </w:tblGrid>
      <w:tr w:rsidR="00B853B5" w:rsidRPr="00B853B5" w14:paraId="269EDAF2" w14:textId="77777777" w:rsidTr="00EF750D">
        <w:tc>
          <w:tcPr>
            <w:tcW w:w="1559" w:type="dxa"/>
          </w:tcPr>
          <w:p w14:paraId="32BAD5B2" w14:textId="77777777" w:rsidR="00B853B5" w:rsidRPr="00B853B5" w:rsidRDefault="00B853B5" w:rsidP="00B853B5">
            <w:pPr>
              <w:spacing w:after="0" w:line="240" w:lineRule="auto"/>
              <w:jc w:val="center"/>
              <w:rPr>
                <w:rFonts w:ascii="Garamond" w:eastAsia="Times New Roman" w:hAnsi="Garamond" w:cs="Arial"/>
                <w:lang w:val="es-ES_tradnl" w:eastAsia="es-ES"/>
              </w:rPr>
            </w:pPr>
            <w:r w:rsidRPr="00B853B5">
              <w:rPr>
                <w:rFonts w:ascii="Garamond" w:eastAsia="Garamond" w:hAnsi="Garamond" w:cs="Garamond"/>
                <w:lang w:val="es-ES_tradnl" w:eastAsia="es-ES"/>
              </w:rPr>
              <w:t>Alta</w:t>
            </w:r>
          </w:p>
        </w:tc>
        <w:tc>
          <w:tcPr>
            <w:tcW w:w="1559" w:type="dxa"/>
          </w:tcPr>
          <w:p w14:paraId="44A4EC73"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Media</w:t>
            </w:r>
          </w:p>
        </w:tc>
        <w:tc>
          <w:tcPr>
            <w:tcW w:w="1560" w:type="dxa"/>
          </w:tcPr>
          <w:p w14:paraId="060FC901"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Baja</w:t>
            </w:r>
          </w:p>
        </w:tc>
      </w:tr>
      <w:tr w:rsidR="00B853B5" w:rsidRPr="00B853B5" w14:paraId="2964FE0B" w14:textId="77777777" w:rsidTr="00EF750D">
        <w:tc>
          <w:tcPr>
            <w:tcW w:w="1559" w:type="dxa"/>
          </w:tcPr>
          <w:p w14:paraId="37423681" w14:textId="77777777" w:rsidR="00B853B5" w:rsidRPr="00B853B5" w:rsidRDefault="00B853B5" w:rsidP="00B853B5">
            <w:pPr>
              <w:spacing w:after="0" w:line="240" w:lineRule="auto"/>
              <w:jc w:val="center"/>
              <w:rPr>
                <w:rFonts w:ascii="Garamond" w:eastAsia="Times New Roman" w:hAnsi="Garamond" w:cs="Arial"/>
                <w:lang w:val="es-ES_tradnl" w:eastAsia="es-ES"/>
              </w:rPr>
            </w:pPr>
            <w:r w:rsidRPr="00B853B5">
              <w:rPr>
                <w:rFonts w:ascii="Garamond" w:eastAsia="Garamond" w:hAnsi="Garamond" w:cs="Garamond"/>
                <w:lang w:val="es-ES_tradnl" w:eastAsia="es-ES"/>
              </w:rPr>
              <w:t>85 años</w:t>
            </w:r>
          </w:p>
        </w:tc>
        <w:tc>
          <w:tcPr>
            <w:tcW w:w="1559" w:type="dxa"/>
          </w:tcPr>
          <w:p w14:paraId="0231BC5F"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67.5 años</w:t>
            </w:r>
          </w:p>
        </w:tc>
        <w:tc>
          <w:tcPr>
            <w:tcW w:w="1560" w:type="dxa"/>
          </w:tcPr>
          <w:p w14:paraId="49144341"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50 años</w:t>
            </w:r>
          </w:p>
        </w:tc>
      </w:tr>
    </w:tbl>
    <w:p w14:paraId="2272A5EB"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lang w:val="es-ES" w:eastAsia="en-US"/>
        </w:rPr>
      </w:pPr>
    </w:p>
    <w:p w14:paraId="2353EB82"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Adquisición de conocimientos:</w:t>
      </w:r>
    </w:p>
    <w:tbl>
      <w:tblPr>
        <w:tblW w:w="0" w:type="auto"/>
        <w:tblInd w:w="1980" w:type="dxa"/>
        <w:tblLook w:val="04A0" w:firstRow="1" w:lastRow="0" w:firstColumn="1" w:lastColumn="0" w:noHBand="0" w:noVBand="1"/>
      </w:tblPr>
      <w:tblGrid>
        <w:gridCol w:w="1559"/>
        <w:gridCol w:w="1559"/>
        <w:gridCol w:w="1560"/>
      </w:tblGrid>
      <w:tr w:rsidR="00B853B5" w:rsidRPr="00B853B5" w14:paraId="5E2EEDFA" w14:textId="77777777" w:rsidTr="00EF750D">
        <w:tc>
          <w:tcPr>
            <w:tcW w:w="1559" w:type="dxa"/>
          </w:tcPr>
          <w:p w14:paraId="657EAA79"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Alta</w:t>
            </w:r>
          </w:p>
        </w:tc>
        <w:tc>
          <w:tcPr>
            <w:tcW w:w="1559" w:type="dxa"/>
          </w:tcPr>
          <w:p w14:paraId="475ED267"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Media</w:t>
            </w:r>
          </w:p>
        </w:tc>
        <w:tc>
          <w:tcPr>
            <w:tcW w:w="1560" w:type="dxa"/>
          </w:tcPr>
          <w:p w14:paraId="1BBA8938"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Baja</w:t>
            </w:r>
          </w:p>
        </w:tc>
      </w:tr>
      <w:tr w:rsidR="00B853B5" w:rsidRPr="00B853B5" w14:paraId="008FBBA6" w14:textId="77777777" w:rsidTr="00EF750D">
        <w:tc>
          <w:tcPr>
            <w:tcW w:w="1559" w:type="dxa"/>
          </w:tcPr>
          <w:p w14:paraId="496C7858"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15 años</w:t>
            </w:r>
          </w:p>
        </w:tc>
        <w:tc>
          <w:tcPr>
            <w:tcW w:w="1559" w:type="dxa"/>
          </w:tcPr>
          <w:p w14:paraId="6151B0B7"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7.5 años</w:t>
            </w:r>
          </w:p>
        </w:tc>
        <w:tc>
          <w:tcPr>
            <w:tcW w:w="1560" w:type="dxa"/>
          </w:tcPr>
          <w:p w14:paraId="15F55A23"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0 años</w:t>
            </w:r>
          </w:p>
        </w:tc>
      </w:tr>
    </w:tbl>
    <w:p w14:paraId="251E74FF" w14:textId="77777777" w:rsidR="00B853B5" w:rsidRPr="00B853B5" w:rsidRDefault="00B853B5" w:rsidP="00B853B5">
      <w:pPr>
        <w:spacing w:after="200" w:line="240" w:lineRule="auto"/>
        <w:ind w:left="720"/>
        <w:contextualSpacing/>
        <w:jc w:val="both"/>
        <w:rPr>
          <w:rFonts w:ascii="Garamond" w:hAnsi="Garamond" w:cs="Arial"/>
          <w:lang w:val="es-ES" w:eastAsia="en-US"/>
        </w:rPr>
      </w:pPr>
    </w:p>
    <w:p w14:paraId="1C7B1C21"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Nivel de vida digno (Ingreso económico inferido por consumo eléctrico):</w:t>
      </w:r>
    </w:p>
    <w:tbl>
      <w:tblPr>
        <w:tblW w:w="0" w:type="auto"/>
        <w:tblInd w:w="1980" w:type="dxa"/>
        <w:tblLook w:val="04A0" w:firstRow="1" w:lastRow="0" w:firstColumn="1" w:lastColumn="0" w:noHBand="0" w:noVBand="1"/>
      </w:tblPr>
      <w:tblGrid>
        <w:gridCol w:w="1559"/>
        <w:gridCol w:w="1559"/>
        <w:gridCol w:w="1560"/>
      </w:tblGrid>
      <w:tr w:rsidR="00B853B5" w:rsidRPr="00B853B5" w14:paraId="7F567890" w14:textId="77777777" w:rsidTr="00EF750D">
        <w:tc>
          <w:tcPr>
            <w:tcW w:w="1559" w:type="dxa"/>
          </w:tcPr>
          <w:p w14:paraId="39F2D386"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Alta</w:t>
            </w:r>
          </w:p>
        </w:tc>
        <w:tc>
          <w:tcPr>
            <w:tcW w:w="1559" w:type="dxa"/>
          </w:tcPr>
          <w:p w14:paraId="33A9A059"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Media</w:t>
            </w:r>
          </w:p>
        </w:tc>
        <w:tc>
          <w:tcPr>
            <w:tcW w:w="1560" w:type="dxa"/>
          </w:tcPr>
          <w:p w14:paraId="0D793E44"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Baja</w:t>
            </w:r>
          </w:p>
        </w:tc>
      </w:tr>
      <w:tr w:rsidR="00B853B5" w:rsidRPr="00B853B5" w14:paraId="5C87DB08" w14:textId="77777777" w:rsidTr="00EF750D">
        <w:tc>
          <w:tcPr>
            <w:tcW w:w="1559" w:type="dxa"/>
          </w:tcPr>
          <w:p w14:paraId="335C1F8E"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1.303 watts</w:t>
            </w:r>
          </w:p>
        </w:tc>
        <w:tc>
          <w:tcPr>
            <w:tcW w:w="1559" w:type="dxa"/>
          </w:tcPr>
          <w:p w14:paraId="70334C25"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618 watts</w:t>
            </w:r>
          </w:p>
        </w:tc>
        <w:tc>
          <w:tcPr>
            <w:tcW w:w="1560" w:type="dxa"/>
          </w:tcPr>
          <w:p w14:paraId="7AFD252B" w14:textId="77777777" w:rsidR="00B853B5" w:rsidRPr="00B853B5" w:rsidRDefault="00B853B5" w:rsidP="00B853B5">
            <w:pPr>
              <w:spacing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67 watts</w:t>
            </w:r>
          </w:p>
        </w:tc>
      </w:tr>
    </w:tbl>
    <w:p w14:paraId="62EA97D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CD046C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cantón de Buenos Aires tiene un IDH de 0,720 que lo califica potencialmente en una categoría de alto desarrollo humano, con los siguientes indicadores</w:t>
      </w:r>
      <w:r w:rsidRPr="00B853B5">
        <w:rPr>
          <w:rFonts w:ascii="Garamond" w:eastAsia="Garamond" w:hAnsi="Garamond" w:cs="Garamond"/>
          <w:vertAlign w:val="superscript"/>
          <w:lang w:val="es-ES_tradnl" w:eastAsia="es-ES"/>
        </w:rPr>
        <w:footnoteReference w:id="3"/>
      </w:r>
      <w:r w:rsidRPr="00B853B5">
        <w:rPr>
          <w:rFonts w:ascii="Garamond" w:eastAsia="Garamond" w:hAnsi="Garamond" w:cs="Garamond"/>
          <w:lang w:val="es-ES_tradnl" w:eastAsia="es-ES"/>
        </w:rPr>
        <w:t>:</w:t>
      </w:r>
    </w:p>
    <w:p w14:paraId="3D38568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55C33CA"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Esperanza de vida: 82,3 años</w:t>
      </w:r>
    </w:p>
    <w:p w14:paraId="2D3B8F72"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Años esperados de escolaridad: 11.6</w:t>
      </w:r>
    </w:p>
    <w:p w14:paraId="60FAD1B1" w14:textId="77777777" w:rsidR="00B853B5" w:rsidRPr="00B853B5" w:rsidRDefault="00B853B5" w:rsidP="00B853B5">
      <w:pPr>
        <w:widowControl w:val="0"/>
        <w:numPr>
          <w:ilvl w:val="0"/>
          <w:numId w:val="17"/>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Capacidad de consumo eléctrico per cápita: 406 watts.</w:t>
      </w:r>
    </w:p>
    <w:p w14:paraId="114B65DF" w14:textId="77777777" w:rsidR="00B853B5" w:rsidRPr="00B853B5" w:rsidRDefault="00B853B5" w:rsidP="00B853B5">
      <w:pPr>
        <w:spacing w:after="0" w:line="240" w:lineRule="auto"/>
        <w:jc w:val="both"/>
        <w:rPr>
          <w:rFonts w:ascii="Garamond" w:eastAsia="Times New Roman" w:hAnsi="Garamond" w:cs="Arial"/>
          <w:lang w:val="es-ES_tradnl" w:eastAsia="es-ES"/>
        </w:rPr>
      </w:pPr>
    </w:p>
    <w:p w14:paraId="148FC513"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Cuando la capacidad de los habitantes de satisfacer sus necesidades básicas es poca o mínima, el IDH cantonal disminuye, quedando expuesto en el Índice de Desarrollo Humano por Desigualdad (IDH-D). Este indicador muestra las brechas existentes entre la población para acceder a servicios, educación, recursos económicos y consumo. Por ello, el IDH-D para Buenos Aires es de 0.598, es decir, tiene un nivel medio de desigualdad. Las dificultades para acceder a una calidad de vida digna se relacionan con la edad, el género, la escolaridad, la condición económica y la etnia.</w:t>
      </w:r>
    </w:p>
    <w:p w14:paraId="6A88320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5F54038" w14:textId="37E45969" w:rsidR="00B853B5" w:rsidRPr="00B853B5" w:rsidRDefault="00B853B5" w:rsidP="00B853B5">
      <w:pPr>
        <w:spacing w:after="0" w:line="240" w:lineRule="auto"/>
        <w:jc w:val="center"/>
        <w:rPr>
          <w:rFonts w:ascii="Garamond" w:eastAsia="Garamond" w:hAnsi="Garamond" w:cs="Garamond"/>
          <w:i/>
          <w:lang w:val="es-ES_tradnl" w:eastAsia="es-ES"/>
        </w:rPr>
      </w:pPr>
      <w:bookmarkStart w:id="33" w:name="_Toc158296353"/>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4</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Índice de Desarrollo Humano por desigualdad del Cantón de Buenos Aires (2018)</w:t>
      </w:r>
      <w:bookmarkEnd w:id="33"/>
    </w:p>
    <w:p w14:paraId="2CAD64DC" w14:textId="588D1887" w:rsidR="00B853B5" w:rsidRPr="00B853B5" w:rsidRDefault="00B853B5" w:rsidP="00B853B5">
      <w:pPr>
        <w:autoSpaceDE w:val="0"/>
        <w:autoSpaceDN w:val="0"/>
        <w:adjustRightInd w:val="0"/>
        <w:spacing w:after="0" w:line="240" w:lineRule="auto"/>
        <w:jc w:val="center"/>
        <w:rPr>
          <w:rFonts w:ascii="Garamond" w:eastAsia="Times New Roman" w:hAnsi="Garamond" w:cs="Arial"/>
          <w:lang w:val="es-ES_tradnl" w:eastAsia="es-ES"/>
        </w:rPr>
      </w:pPr>
      <w:r w:rsidRPr="00B853B5">
        <w:rPr>
          <w:rFonts w:ascii="Garamond" w:eastAsia="Times New Roman" w:hAnsi="Garamond" w:cs="Times New Roman"/>
          <w:noProof/>
        </w:rPr>
        <w:drawing>
          <wp:inline distT="0" distB="0" distL="0" distR="0" wp14:anchorId="1B08A194" wp14:editId="7DCA64E1">
            <wp:extent cx="3971290" cy="1276350"/>
            <wp:effectExtent l="0" t="0" r="0" b="0"/>
            <wp:docPr id="57990133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1290" cy="1276350"/>
                    </a:xfrm>
                    <a:prstGeom prst="rect">
                      <a:avLst/>
                    </a:prstGeom>
                    <a:noFill/>
                    <a:ln>
                      <a:noFill/>
                    </a:ln>
                  </pic:spPr>
                </pic:pic>
              </a:graphicData>
            </a:graphic>
          </wp:inline>
        </w:drawing>
      </w:r>
    </w:p>
    <w:p w14:paraId="13030E76"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PNUD y Escuela de Estadística de la Universidad de Costa Rica, 2020.</w:t>
      </w:r>
    </w:p>
    <w:p w14:paraId="774E83BB" w14:textId="77777777" w:rsidR="00B853B5" w:rsidRPr="00B853B5" w:rsidRDefault="00B853B5" w:rsidP="00B853B5">
      <w:pPr>
        <w:autoSpaceDE w:val="0"/>
        <w:autoSpaceDN w:val="0"/>
        <w:adjustRightInd w:val="0"/>
        <w:spacing w:after="0" w:line="240" w:lineRule="auto"/>
        <w:jc w:val="both"/>
        <w:rPr>
          <w:rFonts w:ascii="Garamond" w:eastAsia="Times New Roman" w:hAnsi="Garamond" w:cs="Arial"/>
          <w:i/>
          <w:lang w:val="es-ES_tradnl" w:eastAsia="es-ES"/>
        </w:rPr>
      </w:pPr>
    </w:p>
    <w:p w14:paraId="1A2085FC"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Pobreza y necesidades insatisfechas</w:t>
      </w:r>
    </w:p>
    <w:p w14:paraId="6CC0E17F"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3E97B3E2"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porcentaje de hogares en pobreza en Buenos Aires es elevado, pues casi la mitad de sus habitantes se encuentra en esta condición. Dentro del cantón había aproximadamente 5.449 hogares pobres identificados por el Censo del 2011, es decir, aquellos que apenas lograban “mantener el monto mínimo requerido para que una persona pueda satisfacer las necesidades básicas alimentarias y no alimentarias, incluidas en una canasta de bienes y servicios” (INEC, 2015, p. 8).</w:t>
      </w:r>
    </w:p>
    <w:p w14:paraId="5CDCAA8F" w14:textId="77777777" w:rsidR="00B853B5" w:rsidRPr="00B853B5" w:rsidRDefault="00B853B5" w:rsidP="00B853B5">
      <w:pPr>
        <w:spacing w:after="0" w:line="240" w:lineRule="auto"/>
        <w:jc w:val="center"/>
        <w:rPr>
          <w:rFonts w:ascii="Garamond" w:eastAsia="Garamond" w:hAnsi="Garamond" w:cs="Garamond"/>
          <w:i/>
          <w:lang w:val="es-ES_tradnl" w:eastAsia="es-ES"/>
        </w:rPr>
      </w:pPr>
      <w:bookmarkStart w:id="34" w:name="_Toc156390398"/>
    </w:p>
    <w:p w14:paraId="18881867" w14:textId="6AE62DA3"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Gráfico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Gráfico_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Porcentaje de hogares en condición de pobreza</w:t>
      </w:r>
      <w:bookmarkEnd w:id="34"/>
    </w:p>
    <w:p w14:paraId="381CE2D6" w14:textId="5D60022C" w:rsidR="00B853B5" w:rsidRPr="00B853B5" w:rsidRDefault="00B853B5" w:rsidP="00B853B5">
      <w:pPr>
        <w:spacing w:after="0" w:line="240" w:lineRule="auto"/>
        <w:jc w:val="center"/>
        <w:rPr>
          <w:rFonts w:ascii="Garamond" w:eastAsia="Times New Roman" w:hAnsi="Garamond" w:cs="Arial"/>
          <w:i/>
          <w:lang w:val="es-ES_tradnl" w:eastAsia="es-ES"/>
        </w:rPr>
      </w:pPr>
      <w:r w:rsidRPr="00B853B5">
        <w:rPr>
          <w:rFonts w:ascii="Garamond" w:eastAsia="Times New Roman" w:hAnsi="Garamond" w:cs="Arial"/>
          <w:i/>
          <w:noProof/>
        </w:rPr>
        <w:lastRenderedPageBreak/>
        <w:drawing>
          <wp:inline distT="0" distB="0" distL="0" distR="0" wp14:anchorId="38CC162D" wp14:editId="516651E1">
            <wp:extent cx="3813175" cy="2359660"/>
            <wp:effectExtent l="0" t="0" r="0" b="2540"/>
            <wp:docPr id="1868892067"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3175" cy="2359660"/>
                    </a:xfrm>
                    <a:prstGeom prst="rect">
                      <a:avLst/>
                    </a:prstGeom>
                    <a:noFill/>
                  </pic:spPr>
                </pic:pic>
              </a:graphicData>
            </a:graphic>
          </wp:inline>
        </w:drawing>
      </w:r>
    </w:p>
    <w:p w14:paraId="47370728" w14:textId="77777777" w:rsidR="00B853B5" w:rsidRPr="00B853B5" w:rsidRDefault="00B853B5" w:rsidP="00B853B5">
      <w:pPr>
        <w:spacing w:after="0" w:line="240" w:lineRule="auto"/>
        <w:jc w:val="center"/>
        <w:rPr>
          <w:rFonts w:ascii="Garamond" w:eastAsia="Times New Roman" w:hAnsi="Garamond" w:cs="Arial"/>
          <w:i/>
          <w:lang w:val="es-ES_tradnl" w:eastAsia="es-ES"/>
        </w:rPr>
      </w:pPr>
    </w:p>
    <w:p w14:paraId="251A5416" w14:textId="77777777" w:rsidR="00B853B5" w:rsidRPr="00B853B5" w:rsidRDefault="00B853B5" w:rsidP="00B853B5">
      <w:pPr>
        <w:spacing w:after="0" w:line="240" w:lineRule="auto"/>
        <w:jc w:val="center"/>
        <w:rPr>
          <w:rFonts w:ascii="Garamond" w:eastAsia="Times New Roman" w:hAnsi="Garamond" w:cs="Arial"/>
          <w:i/>
          <w:lang w:val="es-ES_tradnl" w:eastAsia="es-ES"/>
        </w:rPr>
      </w:pPr>
      <w:r w:rsidRPr="00B853B5">
        <w:rPr>
          <w:rFonts w:ascii="Garamond" w:eastAsia="Garamond" w:hAnsi="Garamond" w:cs="Garamond"/>
          <w:i/>
          <w:lang w:val="es-ES_tradnl" w:eastAsia="es-ES"/>
        </w:rPr>
        <w:t>Fuente: Censo Nacional de Población, 2011.</w:t>
      </w:r>
      <w:r w:rsidRPr="00B853B5">
        <w:rPr>
          <w:rFonts w:ascii="Garamond" w:eastAsia="Times New Roman" w:hAnsi="Garamond" w:cs="Arial"/>
          <w:i/>
          <w:lang w:val="es-ES_tradnl" w:eastAsia="es-ES"/>
        </w:rPr>
        <w:br/>
      </w:r>
    </w:p>
    <w:p w14:paraId="7E189F90"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Así mismo, en el año 2020, la Región Brunca tenía porcentajes de pobreza diferentes a los del 2011. La diferencia está en que, al ser un indicador regional, los porcentajes reflejan la situación de otros cantones cuyos IDH-D son más altos y los porcentajes de pobreza menores. Sin embargo, el índice es alto, pues abarca a una quinta parte de la población en condición de pobreza o pobreza extrema, que son aquellos hogares que no pueden satisfacer más de dos necesidades básicas (INEC, julio 2020), de forma que sus miembros se encuentran en mayores condiciones de vulnerabilidad y con menores oportunidades de acceso a bienes y servicios.</w:t>
      </w:r>
    </w:p>
    <w:p w14:paraId="11AE53C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7D07B2A"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35" w:name="_Toc158296392"/>
      <w:r w:rsidRPr="00B853B5">
        <w:rPr>
          <w:rFonts w:ascii="Garamond" w:eastAsia="Garamond" w:hAnsi="Garamond" w:cs="Garamond"/>
          <w:b/>
          <w:lang w:val="es-ES" w:eastAsia="en-US"/>
        </w:rPr>
        <w:t>Actividad económica</w:t>
      </w:r>
      <w:bookmarkEnd w:id="35"/>
    </w:p>
    <w:p w14:paraId="4411E8DA"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E1ED0E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cantón de Buenos Aires pertenece a la Región Brunca, una de las divisiones socioeconómicas más grandes en las que se clasifica el país. En esta región predominan actividades como la industria, el comercio y otros servicios. Es la única región en la que el comercio no ocupa el primer lugar de sus actividades económicas y donde la agroindustria y los productos tradicionales tienen un peso significativo (Estado de la Nación, 2019, pp. 69,128-130).</w:t>
      </w:r>
    </w:p>
    <w:p w14:paraId="7F421D3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667B06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cultivos agrícolas, la ganadería y el procesamiento de alimentos, se encuentran dentro de la categoría agroindustrial. Además, dentro de los territorios indígenas la actividad agrícola de subsistencia es la predominante, pues el 67% de sus habitantes se ocupan en ella. Eso incluye producción de auto subsistencia, no paga y para la venta (INEC, 2013).</w:t>
      </w:r>
    </w:p>
    <w:p w14:paraId="72E74F2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ED3C4E3" w14:textId="202ACE68" w:rsidR="00B853B5" w:rsidRPr="00B853B5" w:rsidRDefault="00B853B5" w:rsidP="00B853B5">
      <w:pPr>
        <w:spacing w:after="0" w:line="240" w:lineRule="auto"/>
        <w:jc w:val="center"/>
        <w:rPr>
          <w:rFonts w:ascii="Garamond" w:eastAsia="Garamond" w:hAnsi="Garamond" w:cs="Garamond"/>
          <w:i/>
          <w:lang w:val="es-ES_tradnl" w:eastAsia="es-ES"/>
        </w:rPr>
      </w:pPr>
      <w:bookmarkStart w:id="36" w:name="_Toc158296354"/>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5</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Sectores productivos en Buenos Aires y porcentajes de empleabilidad 2019</w:t>
      </w:r>
      <w:bookmarkEnd w:id="36"/>
    </w:p>
    <w:p w14:paraId="0D3503EC" w14:textId="4F5EE779" w:rsidR="00B853B5" w:rsidRPr="00B853B5" w:rsidRDefault="00B853B5" w:rsidP="00B853B5">
      <w:pPr>
        <w:spacing w:after="0" w:line="240" w:lineRule="auto"/>
        <w:jc w:val="center"/>
        <w:rPr>
          <w:rFonts w:ascii="Garamond" w:eastAsia="Times New Roman" w:hAnsi="Garamond" w:cs="Times New Roman"/>
          <w:lang w:val="es-MX" w:eastAsia="es-ES"/>
        </w:rPr>
      </w:pPr>
      <w:r w:rsidRPr="00B853B5">
        <w:rPr>
          <w:rFonts w:ascii="Garamond" w:eastAsia="Times New Roman" w:hAnsi="Garamond" w:cs="Times New Roman"/>
          <w:noProof/>
        </w:rPr>
        <w:drawing>
          <wp:inline distT="0" distB="0" distL="0" distR="0" wp14:anchorId="604ECE34" wp14:editId="546F5D66">
            <wp:extent cx="4906645" cy="1050925"/>
            <wp:effectExtent l="0" t="0" r="8255" b="0"/>
            <wp:docPr id="141316730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6645" cy="1050925"/>
                    </a:xfrm>
                    <a:prstGeom prst="rect">
                      <a:avLst/>
                    </a:prstGeom>
                    <a:noFill/>
                    <a:ln>
                      <a:noFill/>
                    </a:ln>
                  </pic:spPr>
                </pic:pic>
              </a:graphicData>
            </a:graphic>
          </wp:inline>
        </w:drawing>
      </w:r>
    </w:p>
    <w:p w14:paraId="45E424D7"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Estado de la Nación, 2019, p.129.</w:t>
      </w:r>
    </w:p>
    <w:p w14:paraId="5C66171B" w14:textId="77777777" w:rsidR="00B853B5" w:rsidRPr="00B853B5" w:rsidRDefault="00B853B5" w:rsidP="00B853B5">
      <w:pPr>
        <w:spacing w:after="0" w:line="240" w:lineRule="auto"/>
        <w:jc w:val="center"/>
        <w:rPr>
          <w:rFonts w:ascii="Garamond" w:eastAsia="Times New Roman" w:hAnsi="Garamond" w:cs="Arial"/>
          <w:i/>
          <w:lang w:val="es-ES_tradnl" w:eastAsia="es-ES"/>
        </w:rPr>
      </w:pPr>
    </w:p>
    <w:p w14:paraId="5391603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Buenos Aires se clasifica como un cantón de bajo desempeño, esto significa que presenta un desarrollo económico inferior al resto de Costa Rica con menores oportunidades de ventas, empleo o presencia de </w:t>
      </w:r>
      <w:r w:rsidRPr="00B853B5">
        <w:rPr>
          <w:rFonts w:ascii="Garamond" w:eastAsia="Garamond" w:hAnsi="Garamond" w:cs="Garamond"/>
          <w:lang w:val="es-ES_tradnl" w:eastAsia="es-ES"/>
        </w:rPr>
        <w:lastRenderedPageBreak/>
        <w:t>grandes empresas. Por tanto, cuenta con limitaciones para fomentar la producción y las oportunidades laborales a partir de las actividades locales.</w:t>
      </w:r>
    </w:p>
    <w:p w14:paraId="0B241B8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341012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La multifuncionalidad de los espacios rurales del cantón hace que se cuente con una gama de elementos socioeconómicos y culturales que fortalecen el turismo rural, el cual ofrece al visitante una experiencia única y original en los sembradíos de café, árboles frutales, fincas ganaderas, actividad apícola y forestal.</w:t>
      </w:r>
    </w:p>
    <w:p w14:paraId="6FD7143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92F0E93"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Su territorio cuenta con recursos naturales, culturales, históricos y gastronómicos que han permitido el desarrollo del turismo. Se destaca la presencia del Parque Internacional de La Amistad. uno de los parques nacionales con mayor extensión y de los más importantes en la conservación de la biodiversidad de Costa Rica, sitio de Patrimonio Mundial y Reserva de la Biosfera. </w:t>
      </w:r>
    </w:p>
    <w:p w14:paraId="0D4ED56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45C91A7"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37" w:name="_Toc158296393"/>
      <w:r w:rsidRPr="00B853B5">
        <w:rPr>
          <w:rFonts w:ascii="Garamond" w:eastAsia="Garamond" w:hAnsi="Garamond" w:cs="Garamond"/>
          <w:b/>
          <w:lang w:val="es-ES" w:eastAsia="en-US"/>
        </w:rPr>
        <w:t>Caracterización demográfica</w:t>
      </w:r>
      <w:bookmarkEnd w:id="37"/>
    </w:p>
    <w:p w14:paraId="0E4C7BFA" w14:textId="77777777" w:rsidR="00B853B5" w:rsidRPr="00B853B5" w:rsidRDefault="00B853B5" w:rsidP="00B853B5">
      <w:pPr>
        <w:spacing w:after="0" w:line="240" w:lineRule="auto"/>
        <w:jc w:val="both"/>
        <w:rPr>
          <w:rFonts w:ascii="Garamond" w:eastAsia="Times New Roman" w:hAnsi="Garamond" w:cs="Times New Roman"/>
          <w:lang w:val="es-ES_tradnl" w:eastAsia="es-ES"/>
        </w:rPr>
      </w:pPr>
    </w:p>
    <w:p w14:paraId="273CE42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Para el año 2021, el cantón de Buenos Aires cuenta con una población estimada de 54.111 habitantes</w:t>
      </w:r>
      <w:r w:rsidRPr="00B853B5">
        <w:rPr>
          <w:rFonts w:ascii="Garamond" w:eastAsia="Garamond" w:hAnsi="Garamond" w:cs="Garamond"/>
          <w:lang w:val="es-ES_tradnl" w:eastAsia="es-ES"/>
        </w:rPr>
        <w:footnoteReference w:id="4"/>
      </w:r>
      <w:r w:rsidRPr="00B853B5">
        <w:rPr>
          <w:rFonts w:ascii="Garamond" w:eastAsia="Garamond" w:hAnsi="Garamond" w:cs="Garamond"/>
          <w:lang w:val="es-ES_tradnl" w:eastAsia="es-ES"/>
        </w:rPr>
        <w:t>.</w:t>
      </w:r>
    </w:p>
    <w:p w14:paraId="6609D78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29E3FB2"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De acuerdo al Censo Nacional del 2011, la población del cantón era de 45.244 habitantes, de los cuales, el 2,2% nació en el extranjero. El mismo censo destaca que había 12.205 viviendas ocupadas, de las cuales, el 42,7% se encontraba en buen estado y que había problemas de hacinamiento en el 9,2% de las viviendas. El 37,7% de sus habitantes vivían en áreas urbanas.</w:t>
      </w:r>
    </w:p>
    <w:p w14:paraId="2BFE477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5094640"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Entre otros datos, el nivel de alfabetismo del cantón es del 95,3%, con una escolaridad promedio de 6,0 años.</w:t>
      </w:r>
    </w:p>
    <w:p w14:paraId="5FD8D5C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C8ED71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La cantidad de hombres y mujeres en Buenos Aires es semejante: al 2020, ellas representaban el 49.5% y los hombres el 50.5% de la población. Por otra parte, el distrito más poblado es Buenos Aires y el cantón es predominantemente rural, pues el 62.3% de las personas mantenía al 2011 su residencia en estas zonas.</w:t>
      </w:r>
    </w:p>
    <w:p w14:paraId="2EDD667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edad, tanto entre hombres como entre mujeres, un 27% se encuentran en la etapa de niñez y adolescencia, es decir, entre los 0 y los 14 años, mientras las personas jóvenes y adultas (de 15 a 64 años) son un 66.8% y las personas adultas mayores representan el 6.2 % de la población.</w:t>
      </w:r>
    </w:p>
    <w:p w14:paraId="7EB1B5E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29C5FB9" w14:textId="75476CC4" w:rsidR="00B853B5" w:rsidRPr="00B853B5" w:rsidRDefault="00B853B5" w:rsidP="00B853B5">
      <w:pPr>
        <w:spacing w:after="0" w:line="240" w:lineRule="auto"/>
        <w:jc w:val="center"/>
        <w:rPr>
          <w:rFonts w:ascii="Garamond" w:eastAsia="Garamond" w:hAnsi="Garamond" w:cs="Garamond"/>
          <w:i/>
          <w:lang w:val="es-ES_tradnl" w:eastAsia="es-ES"/>
        </w:rPr>
      </w:pPr>
      <w:bookmarkStart w:id="38" w:name="_Toc158296313"/>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3</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Población total proyectada por género, cantón y distrito al 30 de junio de 2021</w:t>
      </w:r>
      <w:bookmarkEnd w:id="38"/>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47"/>
        <w:gridCol w:w="1545"/>
        <w:gridCol w:w="1545"/>
        <w:gridCol w:w="1545"/>
        <w:gridCol w:w="1546"/>
      </w:tblGrid>
      <w:tr w:rsidR="00B853B5" w:rsidRPr="00B853B5" w14:paraId="2F0FD489" w14:textId="77777777" w:rsidTr="00EF750D">
        <w:tc>
          <w:tcPr>
            <w:tcW w:w="2647" w:type="dxa"/>
            <w:tcBorders>
              <w:bottom w:val="single" w:sz="12" w:space="0" w:color="8EAADB"/>
            </w:tcBorders>
          </w:tcPr>
          <w:p w14:paraId="4410F8F9"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Cantón / Distrito</w:t>
            </w:r>
          </w:p>
        </w:tc>
        <w:tc>
          <w:tcPr>
            <w:tcW w:w="1545" w:type="dxa"/>
            <w:tcBorders>
              <w:bottom w:val="single" w:sz="12" w:space="0" w:color="8EAADB"/>
            </w:tcBorders>
          </w:tcPr>
          <w:p w14:paraId="5A2C4E36"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Población total</w:t>
            </w:r>
          </w:p>
        </w:tc>
        <w:tc>
          <w:tcPr>
            <w:tcW w:w="1545" w:type="dxa"/>
            <w:tcBorders>
              <w:bottom w:val="single" w:sz="12" w:space="0" w:color="8EAADB"/>
            </w:tcBorders>
          </w:tcPr>
          <w:p w14:paraId="70C151B8"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Hombres</w:t>
            </w:r>
          </w:p>
        </w:tc>
        <w:tc>
          <w:tcPr>
            <w:tcW w:w="1545" w:type="dxa"/>
            <w:tcBorders>
              <w:bottom w:val="single" w:sz="12" w:space="0" w:color="8EAADB"/>
            </w:tcBorders>
          </w:tcPr>
          <w:p w14:paraId="4368F375"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Mujeres</w:t>
            </w:r>
          </w:p>
        </w:tc>
        <w:tc>
          <w:tcPr>
            <w:tcW w:w="1546" w:type="dxa"/>
            <w:tcBorders>
              <w:bottom w:val="single" w:sz="12" w:space="0" w:color="8EAADB"/>
            </w:tcBorders>
          </w:tcPr>
          <w:p w14:paraId="2C50B3D6"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Porcentaje</w:t>
            </w:r>
          </w:p>
        </w:tc>
      </w:tr>
      <w:tr w:rsidR="00B853B5" w:rsidRPr="00B853B5" w14:paraId="31688A9A" w14:textId="77777777" w:rsidTr="00EF750D">
        <w:tc>
          <w:tcPr>
            <w:tcW w:w="2647" w:type="dxa"/>
          </w:tcPr>
          <w:p w14:paraId="0D5963AA" w14:textId="77777777" w:rsidR="00B853B5" w:rsidRPr="00B853B5" w:rsidRDefault="00B853B5" w:rsidP="00B853B5">
            <w:pPr>
              <w:spacing w:after="0" w:line="240" w:lineRule="auto"/>
              <w:jc w:val="center"/>
              <w:rPr>
                <w:rFonts w:ascii="Garamond" w:eastAsia="Garamond" w:hAnsi="Garamond" w:cs="Garamond"/>
                <w:b/>
                <w:bCs/>
                <w:lang w:val="es-ES_tradnl"/>
              </w:rPr>
            </w:pPr>
            <w:r w:rsidRPr="00B853B5">
              <w:rPr>
                <w:rFonts w:ascii="Garamond" w:eastAsia="Garamond" w:hAnsi="Garamond" w:cs="Garamond"/>
                <w:b/>
                <w:bCs/>
                <w:lang w:val="es-ES_tradnl"/>
              </w:rPr>
              <w:t>Buenos Aires</w:t>
            </w:r>
          </w:p>
        </w:tc>
        <w:tc>
          <w:tcPr>
            <w:tcW w:w="1545" w:type="dxa"/>
          </w:tcPr>
          <w:p w14:paraId="395126B5" w14:textId="77777777" w:rsidR="00B853B5" w:rsidRPr="00B853B5" w:rsidRDefault="00B853B5" w:rsidP="00B853B5">
            <w:pPr>
              <w:spacing w:after="0" w:line="240" w:lineRule="auto"/>
              <w:jc w:val="center"/>
              <w:rPr>
                <w:rFonts w:ascii="Garamond" w:eastAsia="Garamond" w:hAnsi="Garamond" w:cs="Garamond"/>
                <w:b/>
                <w:lang w:val="es-ES_tradnl"/>
              </w:rPr>
            </w:pPr>
            <w:r w:rsidRPr="00B853B5">
              <w:rPr>
                <w:rFonts w:ascii="Garamond" w:eastAsia="Garamond" w:hAnsi="Garamond" w:cs="Garamond"/>
                <w:b/>
                <w:lang w:val="es-ES_tradnl"/>
              </w:rPr>
              <w:t>54.111</w:t>
            </w:r>
          </w:p>
        </w:tc>
        <w:tc>
          <w:tcPr>
            <w:tcW w:w="1545" w:type="dxa"/>
          </w:tcPr>
          <w:p w14:paraId="7946BF33" w14:textId="77777777" w:rsidR="00B853B5" w:rsidRPr="00B853B5" w:rsidRDefault="00B853B5" w:rsidP="00B853B5">
            <w:pPr>
              <w:spacing w:after="0" w:line="240" w:lineRule="auto"/>
              <w:jc w:val="center"/>
              <w:rPr>
                <w:rFonts w:ascii="Garamond" w:eastAsia="Garamond" w:hAnsi="Garamond" w:cs="Garamond"/>
                <w:b/>
                <w:lang w:val="es-ES_tradnl"/>
              </w:rPr>
            </w:pPr>
            <w:r w:rsidRPr="00B853B5">
              <w:rPr>
                <w:rFonts w:ascii="Garamond" w:eastAsia="Garamond" w:hAnsi="Garamond" w:cs="Garamond"/>
                <w:b/>
                <w:lang w:val="es-ES_tradnl"/>
              </w:rPr>
              <w:t>27.268</w:t>
            </w:r>
          </w:p>
        </w:tc>
        <w:tc>
          <w:tcPr>
            <w:tcW w:w="1545" w:type="dxa"/>
          </w:tcPr>
          <w:p w14:paraId="2A21F260" w14:textId="77777777" w:rsidR="00B853B5" w:rsidRPr="00B853B5" w:rsidRDefault="00B853B5" w:rsidP="00B853B5">
            <w:pPr>
              <w:spacing w:after="0" w:line="240" w:lineRule="auto"/>
              <w:jc w:val="center"/>
              <w:rPr>
                <w:rFonts w:ascii="Garamond" w:eastAsia="Garamond" w:hAnsi="Garamond" w:cs="Garamond"/>
                <w:b/>
                <w:lang w:val="es-ES_tradnl"/>
              </w:rPr>
            </w:pPr>
            <w:r w:rsidRPr="00B853B5">
              <w:rPr>
                <w:rFonts w:ascii="Garamond" w:eastAsia="Garamond" w:hAnsi="Garamond" w:cs="Garamond"/>
                <w:b/>
                <w:lang w:val="es-ES_tradnl"/>
              </w:rPr>
              <w:t>26.843</w:t>
            </w:r>
          </w:p>
        </w:tc>
        <w:tc>
          <w:tcPr>
            <w:tcW w:w="1546" w:type="dxa"/>
          </w:tcPr>
          <w:p w14:paraId="735C279C" w14:textId="77777777" w:rsidR="00B853B5" w:rsidRPr="00B853B5" w:rsidRDefault="00B853B5" w:rsidP="00B853B5">
            <w:pPr>
              <w:spacing w:after="0" w:line="240" w:lineRule="auto"/>
              <w:jc w:val="center"/>
              <w:rPr>
                <w:rFonts w:ascii="Garamond" w:eastAsia="Garamond" w:hAnsi="Garamond" w:cs="Garamond"/>
                <w:b/>
                <w:lang w:val="es-ES_tradnl"/>
              </w:rPr>
            </w:pPr>
            <w:r w:rsidRPr="00B853B5">
              <w:rPr>
                <w:rFonts w:ascii="Garamond" w:eastAsia="Garamond" w:hAnsi="Garamond" w:cs="Garamond"/>
                <w:b/>
                <w:lang w:val="es-ES_tradnl"/>
              </w:rPr>
              <w:t>100%</w:t>
            </w:r>
          </w:p>
        </w:tc>
      </w:tr>
      <w:tr w:rsidR="00B853B5" w:rsidRPr="00B853B5" w14:paraId="007A7450" w14:textId="77777777" w:rsidTr="00EF750D">
        <w:tc>
          <w:tcPr>
            <w:tcW w:w="2647" w:type="dxa"/>
          </w:tcPr>
          <w:p w14:paraId="129A0466"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Buenos Aires</w:t>
            </w:r>
          </w:p>
        </w:tc>
        <w:tc>
          <w:tcPr>
            <w:tcW w:w="1545" w:type="dxa"/>
          </w:tcPr>
          <w:p w14:paraId="39A7775A"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28.726</w:t>
            </w:r>
          </w:p>
        </w:tc>
        <w:tc>
          <w:tcPr>
            <w:tcW w:w="1545" w:type="dxa"/>
          </w:tcPr>
          <w:p w14:paraId="689A774F"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14.530</w:t>
            </w:r>
          </w:p>
        </w:tc>
        <w:tc>
          <w:tcPr>
            <w:tcW w:w="1545" w:type="dxa"/>
          </w:tcPr>
          <w:p w14:paraId="08DFF3B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14.196</w:t>
            </w:r>
          </w:p>
        </w:tc>
        <w:tc>
          <w:tcPr>
            <w:tcW w:w="1546" w:type="dxa"/>
          </w:tcPr>
          <w:p w14:paraId="129530B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53%</w:t>
            </w:r>
          </w:p>
        </w:tc>
      </w:tr>
      <w:tr w:rsidR="00B853B5" w:rsidRPr="00B853B5" w14:paraId="5453B72A" w14:textId="77777777" w:rsidTr="00EF750D">
        <w:tc>
          <w:tcPr>
            <w:tcW w:w="2647" w:type="dxa"/>
          </w:tcPr>
          <w:p w14:paraId="74CCCB65"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Volcán</w:t>
            </w:r>
          </w:p>
        </w:tc>
        <w:tc>
          <w:tcPr>
            <w:tcW w:w="1545" w:type="dxa"/>
          </w:tcPr>
          <w:p w14:paraId="6FA3D395"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3.715</w:t>
            </w:r>
          </w:p>
        </w:tc>
        <w:tc>
          <w:tcPr>
            <w:tcW w:w="1545" w:type="dxa"/>
          </w:tcPr>
          <w:p w14:paraId="7AF8E41A"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1.881</w:t>
            </w:r>
          </w:p>
        </w:tc>
        <w:tc>
          <w:tcPr>
            <w:tcW w:w="1545" w:type="dxa"/>
          </w:tcPr>
          <w:p w14:paraId="3953A5B8"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1834</w:t>
            </w:r>
          </w:p>
        </w:tc>
        <w:tc>
          <w:tcPr>
            <w:tcW w:w="1546" w:type="dxa"/>
          </w:tcPr>
          <w:p w14:paraId="59094973"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7%</w:t>
            </w:r>
          </w:p>
        </w:tc>
      </w:tr>
      <w:tr w:rsidR="00B853B5" w:rsidRPr="00B853B5" w14:paraId="3F957C99" w14:textId="77777777" w:rsidTr="00EF750D">
        <w:tc>
          <w:tcPr>
            <w:tcW w:w="2647" w:type="dxa"/>
          </w:tcPr>
          <w:p w14:paraId="2AA69FCC"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Potrero Grande</w:t>
            </w:r>
          </w:p>
        </w:tc>
        <w:tc>
          <w:tcPr>
            <w:tcW w:w="1545" w:type="dxa"/>
          </w:tcPr>
          <w:p w14:paraId="554D3145"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6.491</w:t>
            </w:r>
          </w:p>
        </w:tc>
        <w:tc>
          <w:tcPr>
            <w:tcW w:w="1545" w:type="dxa"/>
          </w:tcPr>
          <w:p w14:paraId="0D680DF2"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3.244</w:t>
            </w:r>
          </w:p>
        </w:tc>
        <w:tc>
          <w:tcPr>
            <w:tcW w:w="1545" w:type="dxa"/>
          </w:tcPr>
          <w:p w14:paraId="6BEBA34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3.247</w:t>
            </w:r>
          </w:p>
        </w:tc>
        <w:tc>
          <w:tcPr>
            <w:tcW w:w="1546" w:type="dxa"/>
          </w:tcPr>
          <w:p w14:paraId="49E3B4A2"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12%</w:t>
            </w:r>
          </w:p>
        </w:tc>
      </w:tr>
      <w:tr w:rsidR="00B853B5" w:rsidRPr="00B853B5" w14:paraId="6C70BCFF" w14:textId="77777777" w:rsidTr="00EF750D">
        <w:tc>
          <w:tcPr>
            <w:tcW w:w="2647" w:type="dxa"/>
          </w:tcPr>
          <w:p w14:paraId="64D9D9F0"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Boruca</w:t>
            </w:r>
          </w:p>
        </w:tc>
        <w:tc>
          <w:tcPr>
            <w:tcW w:w="1545" w:type="dxa"/>
          </w:tcPr>
          <w:p w14:paraId="148ABCA8"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3.287</w:t>
            </w:r>
          </w:p>
        </w:tc>
        <w:tc>
          <w:tcPr>
            <w:tcW w:w="1545" w:type="dxa"/>
          </w:tcPr>
          <w:p w14:paraId="29744529"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1.659</w:t>
            </w:r>
          </w:p>
        </w:tc>
        <w:tc>
          <w:tcPr>
            <w:tcW w:w="1545" w:type="dxa"/>
          </w:tcPr>
          <w:p w14:paraId="6C8DFE59"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1659</w:t>
            </w:r>
          </w:p>
        </w:tc>
        <w:tc>
          <w:tcPr>
            <w:tcW w:w="1546" w:type="dxa"/>
          </w:tcPr>
          <w:p w14:paraId="1E638EFA"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6%</w:t>
            </w:r>
          </w:p>
        </w:tc>
      </w:tr>
      <w:tr w:rsidR="00B853B5" w:rsidRPr="00B853B5" w14:paraId="3C40379C" w14:textId="77777777" w:rsidTr="00EF750D">
        <w:tc>
          <w:tcPr>
            <w:tcW w:w="2647" w:type="dxa"/>
          </w:tcPr>
          <w:p w14:paraId="3C0F7AF9"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Pilas</w:t>
            </w:r>
          </w:p>
        </w:tc>
        <w:tc>
          <w:tcPr>
            <w:tcW w:w="1545" w:type="dxa"/>
          </w:tcPr>
          <w:p w14:paraId="38ED7182"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1.756</w:t>
            </w:r>
          </w:p>
        </w:tc>
        <w:tc>
          <w:tcPr>
            <w:tcW w:w="1545" w:type="dxa"/>
          </w:tcPr>
          <w:p w14:paraId="082853E8"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879</w:t>
            </w:r>
          </w:p>
        </w:tc>
        <w:tc>
          <w:tcPr>
            <w:tcW w:w="1545" w:type="dxa"/>
          </w:tcPr>
          <w:p w14:paraId="0E27B04B"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877</w:t>
            </w:r>
          </w:p>
        </w:tc>
        <w:tc>
          <w:tcPr>
            <w:tcW w:w="1546" w:type="dxa"/>
          </w:tcPr>
          <w:p w14:paraId="23A2EBE3"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w:t>
            </w:r>
          </w:p>
        </w:tc>
      </w:tr>
      <w:tr w:rsidR="00B853B5" w:rsidRPr="00B853B5" w14:paraId="37455920" w14:textId="77777777" w:rsidTr="00EF750D">
        <w:tc>
          <w:tcPr>
            <w:tcW w:w="2647" w:type="dxa"/>
          </w:tcPr>
          <w:p w14:paraId="06A234D7"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Colinas</w:t>
            </w:r>
          </w:p>
        </w:tc>
        <w:tc>
          <w:tcPr>
            <w:tcW w:w="1545" w:type="dxa"/>
          </w:tcPr>
          <w:p w14:paraId="17D1D56E"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1.396</w:t>
            </w:r>
          </w:p>
        </w:tc>
        <w:tc>
          <w:tcPr>
            <w:tcW w:w="1545" w:type="dxa"/>
          </w:tcPr>
          <w:p w14:paraId="67F58EB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703</w:t>
            </w:r>
          </w:p>
        </w:tc>
        <w:tc>
          <w:tcPr>
            <w:tcW w:w="1545" w:type="dxa"/>
          </w:tcPr>
          <w:p w14:paraId="5270CD55"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693</w:t>
            </w:r>
          </w:p>
        </w:tc>
        <w:tc>
          <w:tcPr>
            <w:tcW w:w="1546" w:type="dxa"/>
          </w:tcPr>
          <w:p w14:paraId="4C822153"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2%</w:t>
            </w:r>
          </w:p>
        </w:tc>
      </w:tr>
      <w:tr w:rsidR="00B853B5" w:rsidRPr="00B853B5" w14:paraId="02254CA3" w14:textId="77777777" w:rsidTr="00EF750D">
        <w:tc>
          <w:tcPr>
            <w:tcW w:w="2647" w:type="dxa"/>
          </w:tcPr>
          <w:p w14:paraId="7A78F0A5"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Chánguena</w:t>
            </w:r>
          </w:p>
        </w:tc>
        <w:tc>
          <w:tcPr>
            <w:tcW w:w="1545" w:type="dxa"/>
          </w:tcPr>
          <w:p w14:paraId="0CB4E9D9"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2.919</w:t>
            </w:r>
          </w:p>
        </w:tc>
        <w:tc>
          <w:tcPr>
            <w:tcW w:w="1545" w:type="dxa"/>
          </w:tcPr>
          <w:p w14:paraId="137BDFB5"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1.456</w:t>
            </w:r>
          </w:p>
        </w:tc>
        <w:tc>
          <w:tcPr>
            <w:tcW w:w="1545" w:type="dxa"/>
          </w:tcPr>
          <w:p w14:paraId="1241ED3C"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1.463</w:t>
            </w:r>
          </w:p>
        </w:tc>
        <w:tc>
          <w:tcPr>
            <w:tcW w:w="1546" w:type="dxa"/>
          </w:tcPr>
          <w:p w14:paraId="0636DF68"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5%</w:t>
            </w:r>
          </w:p>
        </w:tc>
      </w:tr>
      <w:tr w:rsidR="00B853B5" w:rsidRPr="00B853B5" w14:paraId="44EF59EA" w14:textId="77777777" w:rsidTr="00EF750D">
        <w:tc>
          <w:tcPr>
            <w:tcW w:w="2647" w:type="dxa"/>
          </w:tcPr>
          <w:p w14:paraId="6BF9B100"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Biolley</w:t>
            </w:r>
          </w:p>
        </w:tc>
        <w:tc>
          <w:tcPr>
            <w:tcW w:w="1545" w:type="dxa"/>
          </w:tcPr>
          <w:p w14:paraId="6508382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2.599</w:t>
            </w:r>
          </w:p>
        </w:tc>
        <w:tc>
          <w:tcPr>
            <w:tcW w:w="1545" w:type="dxa"/>
          </w:tcPr>
          <w:p w14:paraId="075EF0FC"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1.289</w:t>
            </w:r>
          </w:p>
        </w:tc>
        <w:tc>
          <w:tcPr>
            <w:tcW w:w="1545" w:type="dxa"/>
          </w:tcPr>
          <w:p w14:paraId="604FAB97"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1.310</w:t>
            </w:r>
          </w:p>
        </w:tc>
        <w:tc>
          <w:tcPr>
            <w:tcW w:w="1546" w:type="dxa"/>
          </w:tcPr>
          <w:p w14:paraId="6B76BAF6"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5%</w:t>
            </w:r>
          </w:p>
        </w:tc>
      </w:tr>
      <w:tr w:rsidR="00B853B5" w:rsidRPr="00B853B5" w14:paraId="5F1526AD" w14:textId="77777777" w:rsidTr="00EF750D">
        <w:tc>
          <w:tcPr>
            <w:tcW w:w="2647" w:type="dxa"/>
          </w:tcPr>
          <w:p w14:paraId="2D594B3D" w14:textId="77777777" w:rsidR="00B853B5" w:rsidRPr="00B853B5" w:rsidRDefault="00B853B5" w:rsidP="00B853B5">
            <w:pPr>
              <w:spacing w:after="0" w:line="240" w:lineRule="auto"/>
              <w:ind w:left="708"/>
              <w:rPr>
                <w:rFonts w:ascii="Garamond" w:eastAsia="Garamond" w:hAnsi="Garamond" w:cs="Garamond"/>
                <w:b/>
                <w:bCs/>
                <w:lang w:val="es-ES_tradnl"/>
              </w:rPr>
            </w:pPr>
            <w:r w:rsidRPr="00B853B5">
              <w:rPr>
                <w:rFonts w:ascii="Garamond" w:eastAsia="Garamond" w:hAnsi="Garamond" w:cs="Garamond"/>
                <w:b/>
                <w:bCs/>
                <w:lang w:val="es-ES_tradnl"/>
              </w:rPr>
              <w:t>Brunka</w:t>
            </w:r>
          </w:p>
        </w:tc>
        <w:tc>
          <w:tcPr>
            <w:tcW w:w="1545" w:type="dxa"/>
          </w:tcPr>
          <w:p w14:paraId="55A825D8"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3.222</w:t>
            </w:r>
          </w:p>
        </w:tc>
        <w:tc>
          <w:tcPr>
            <w:tcW w:w="1545" w:type="dxa"/>
          </w:tcPr>
          <w:p w14:paraId="2EC0C2A3"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1.627</w:t>
            </w:r>
          </w:p>
        </w:tc>
        <w:tc>
          <w:tcPr>
            <w:tcW w:w="1545" w:type="dxa"/>
          </w:tcPr>
          <w:p w14:paraId="33F7A1A9"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1.593</w:t>
            </w:r>
          </w:p>
        </w:tc>
        <w:tc>
          <w:tcPr>
            <w:tcW w:w="1546" w:type="dxa"/>
          </w:tcPr>
          <w:p w14:paraId="3E019DF2" w14:textId="77777777" w:rsidR="00B853B5" w:rsidRPr="00B853B5" w:rsidRDefault="00B853B5" w:rsidP="00B853B5">
            <w:pPr>
              <w:spacing w:after="0" w:line="240" w:lineRule="auto"/>
              <w:jc w:val="center"/>
              <w:rPr>
                <w:rFonts w:ascii="Garamond" w:eastAsia="Garamond" w:hAnsi="Garamond" w:cs="Garamond"/>
                <w:lang w:val="es-ES_tradnl"/>
              </w:rPr>
            </w:pPr>
            <w:r w:rsidRPr="00B853B5">
              <w:rPr>
                <w:rFonts w:ascii="Garamond" w:eastAsia="Garamond" w:hAnsi="Garamond" w:cs="Garamond"/>
                <w:lang w:val="es-ES_tradnl"/>
              </w:rPr>
              <w:t>6%</w:t>
            </w:r>
          </w:p>
        </w:tc>
      </w:tr>
    </w:tbl>
    <w:p w14:paraId="4979ABEA"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INEC, 2021</w:t>
      </w:r>
    </w:p>
    <w:p w14:paraId="5BC50D84"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39" w:name="_Toc158296394"/>
      <w:r w:rsidRPr="00B853B5">
        <w:rPr>
          <w:rFonts w:ascii="Garamond" w:eastAsia="Garamond" w:hAnsi="Garamond" w:cs="Garamond"/>
          <w:b/>
          <w:lang w:val="es-ES" w:eastAsia="en-US"/>
        </w:rPr>
        <w:t>Aspectos culturales</w:t>
      </w:r>
      <w:bookmarkEnd w:id="39"/>
    </w:p>
    <w:p w14:paraId="31A4752B" w14:textId="77777777" w:rsidR="00B853B5" w:rsidRPr="00B853B5" w:rsidRDefault="00B853B5" w:rsidP="00B853B5">
      <w:pPr>
        <w:spacing w:after="0" w:line="240" w:lineRule="auto"/>
        <w:jc w:val="both"/>
        <w:rPr>
          <w:rFonts w:ascii="Garamond" w:eastAsia="Times New Roman" w:hAnsi="Garamond" w:cs="Arial"/>
          <w:lang w:val="es-ES_tradnl" w:eastAsia="es-ES"/>
        </w:rPr>
      </w:pPr>
    </w:p>
    <w:p w14:paraId="0D2FC1E6"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 xml:space="preserve">El Cantón de Buenos Aires es el único en Costa Rica que posee 4 territorios indígenas, representados en seis reservas indígenas, condición que ha permitido el desarrollo paulatino del etnoturismo. </w:t>
      </w:r>
    </w:p>
    <w:p w14:paraId="7C2E4EC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790E0F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Según datos del 2011, un alto porcentaje de las personas en Buenos Aires se identificó como mestiza, no obstante, después de Talamanca en Limón, Buenos Aires es el segundo cantón a nivel nacional que registró mayor cantidad de población auto identificada como indígena, representada en un 29.8% del total de habitantes, es decir, 14.502 personas (INEC, 2011). Estas mujeres y hombres habitaban en su mayoría dentro de los 6 territorios indígenas ubicados en el cantón, con pertenencia a 5 pueblos diferentes: Salitre, Cabagra, Ujarrás, Boruca, Rey Curré y Térraba. </w:t>
      </w:r>
    </w:p>
    <w:p w14:paraId="2C123D5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2C7160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Existe una fusión gastronómica de platillos derivados de la cocina indígena y chiricana (Panamá) que logran crear sabores únicos como el tamal de arroz, bien mesabe, arroz de frijolillo de palo (únicamente en temporada), picadillo de palmito de la palma real, carne ahumada, gallina achotada.</w:t>
      </w:r>
    </w:p>
    <w:p w14:paraId="3AA40C7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27E09F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patrimonio cultural, enmarca una mezcla de tradiciones, costumbres y diversión como el baile de los diablitos, celebración de día de "San Pedro Apóstol, Patrono del cantón, día de la Purísima Concepción, festival del tamal de arroz, eventos que son acompañados de cabalgatas, corridas de toros, bailes y juegos de pólvora.</w:t>
      </w:r>
    </w:p>
    <w:p w14:paraId="78521EE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179592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Y no podemos olvidar la calidez y sencillez de los habitantes que hacen de Buenos Aires un cantón atractivo para los visitantes.</w:t>
      </w:r>
    </w:p>
    <w:p w14:paraId="275D9B69"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Antecedentes</w:t>
      </w:r>
    </w:p>
    <w:p w14:paraId="4D1FE31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B5897F4"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Comisión de Asadas de Buenos Aires surge en el año 2021, como resultado de un proceso ante el decreto ejecutivo 41529 MP-MIDEPLAN para fortalecer el cantón de Buenos Aires y con la finalidad de buscar soluciones a las dificultades presentes en la mayoría de asociaciones administradoras de acueductos que carecen de estudios técnicos que respalden su operatividad. </w:t>
      </w:r>
    </w:p>
    <w:p w14:paraId="70CA47A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B2BAD9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estudios técnicos son requisito obligatorio según lo indica el Reglamento de Asadas N° 42582-S- MINAE, artículo 44. Estudio Técnico de los sistemas de agua potable y saneamiento de aguas residuales. donde dice:</w:t>
      </w:r>
    </w:p>
    <w:p w14:paraId="75AFE85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871A4C0" w14:textId="77777777" w:rsidR="00B853B5" w:rsidRPr="00B853B5" w:rsidRDefault="00B853B5" w:rsidP="00B853B5">
      <w:pPr>
        <w:spacing w:after="0" w:line="240" w:lineRule="auto"/>
        <w:jc w:val="both"/>
        <w:rPr>
          <w:rFonts w:ascii="Garamond" w:eastAsia="Garamond" w:hAnsi="Garamond" w:cs="Garamond"/>
          <w:i/>
          <w:lang w:val="es-ES_tradnl" w:eastAsia="es-ES"/>
        </w:rPr>
      </w:pPr>
      <w:r w:rsidRPr="00B853B5">
        <w:rPr>
          <w:rFonts w:ascii="Garamond" w:eastAsia="Garamond" w:hAnsi="Garamond" w:cs="Garamond"/>
          <w:i/>
          <w:lang w:val="es-ES_tradnl" w:eastAsia="es-ES"/>
        </w:rPr>
        <w:t>“Las ASADAS deberán contar con un estudio actualizado mediante el cual se determine la capacidad hídrica e hidráulica del sistema administrado”.</w:t>
      </w:r>
    </w:p>
    <w:p w14:paraId="3ACA54DC" w14:textId="77777777" w:rsidR="00B853B5" w:rsidRPr="00B853B5" w:rsidRDefault="00B853B5" w:rsidP="00B853B5">
      <w:pPr>
        <w:spacing w:after="0" w:line="240" w:lineRule="auto"/>
        <w:jc w:val="both"/>
        <w:rPr>
          <w:rFonts w:ascii="Garamond" w:eastAsia="Garamond" w:hAnsi="Garamond" w:cs="Garamond"/>
          <w:i/>
          <w:lang w:val="es-ES_tradnl" w:eastAsia="es-ES"/>
        </w:rPr>
      </w:pPr>
    </w:p>
    <w:p w14:paraId="7F26402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Dicha propuesta se consolida a partir de la identificación de unos fondos a través del MIDEPLAN existentes para el financiamiento de actividades de pre inversión (pago de estudios técnicos).</w:t>
      </w:r>
    </w:p>
    <w:p w14:paraId="797910C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484B99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Dada a la naturaleza de la institución y la complejidad del manejo de estos fondos, por tratarse de asociaciones especificas amparadas a la Ley 218, se obstaculiza el acceso directo al ser estos fondos públicos, por lo que la alternativa más viable y según la experiencia con el manejo que ya se había tenido con la Comisión Nacional de Emergencias, fondos de JUDESUR y administrados por la Municipalidad de Buenos Aires, se vio la necesidad de incorporarla para que fungiera nuevamente como ente mediador.</w:t>
      </w:r>
    </w:p>
    <w:p w14:paraId="62D1C5D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49F3148" w14:textId="0DB01885" w:rsid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Una vez identificado la ruta se procedió a dar formalidad mediante un aval del Alcalde y un acuerdo del Concejo Municipal que respaldará formalmente la iniciativa, se delega el seguimiento técnico de este proceso a la oficina de gestión local y se conforma la comisión.</w:t>
      </w:r>
    </w:p>
    <w:p w14:paraId="37A95C0A" w14:textId="773CCE89" w:rsidR="00196828" w:rsidRDefault="00196828" w:rsidP="00B853B5">
      <w:pPr>
        <w:spacing w:after="0" w:line="240" w:lineRule="auto"/>
        <w:jc w:val="both"/>
        <w:rPr>
          <w:rFonts w:ascii="Garamond" w:eastAsia="Garamond" w:hAnsi="Garamond" w:cs="Garamond"/>
          <w:lang w:val="es-ES_tradnl" w:eastAsia="es-ES"/>
        </w:rPr>
      </w:pPr>
    </w:p>
    <w:p w14:paraId="72CC54FA" w14:textId="23E4FABA" w:rsidR="00196828" w:rsidRDefault="00196828" w:rsidP="00B853B5">
      <w:pPr>
        <w:spacing w:after="0" w:line="240" w:lineRule="auto"/>
        <w:jc w:val="both"/>
        <w:rPr>
          <w:rFonts w:ascii="Garamond" w:eastAsia="Garamond" w:hAnsi="Garamond" w:cs="Garamond"/>
          <w:lang w:val="es-ES_tradnl" w:eastAsia="es-ES"/>
        </w:rPr>
      </w:pPr>
    </w:p>
    <w:p w14:paraId="22736772" w14:textId="40544AE5" w:rsidR="00196828" w:rsidRDefault="00196828" w:rsidP="00B853B5">
      <w:pPr>
        <w:spacing w:after="0" w:line="240" w:lineRule="auto"/>
        <w:jc w:val="both"/>
        <w:rPr>
          <w:rFonts w:ascii="Garamond" w:eastAsia="Garamond" w:hAnsi="Garamond" w:cs="Garamond"/>
          <w:lang w:val="es-ES_tradnl" w:eastAsia="es-ES"/>
        </w:rPr>
      </w:pPr>
    </w:p>
    <w:p w14:paraId="7CC9FBCB" w14:textId="77777777" w:rsidR="00196828" w:rsidRPr="00B853B5" w:rsidRDefault="00196828" w:rsidP="00B853B5">
      <w:pPr>
        <w:spacing w:after="0" w:line="240" w:lineRule="auto"/>
        <w:jc w:val="both"/>
        <w:rPr>
          <w:rFonts w:ascii="Garamond" w:eastAsia="Garamond" w:hAnsi="Garamond" w:cs="Garamond"/>
          <w:lang w:val="es-ES_tradnl" w:eastAsia="es-ES"/>
        </w:rPr>
      </w:pPr>
    </w:p>
    <w:p w14:paraId="0A3253C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7C4AABF"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lastRenderedPageBreak/>
        <w:t xml:space="preserve">Actores que conforma la Comisión de Asadas de Buenos Aires: </w:t>
      </w:r>
    </w:p>
    <w:p w14:paraId="5ED736BA"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015B7981"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Un miembro por Asada, (Volcán, El Carmen, La Amistad, Helechales y Potrero Grande y Concepción de Pilas).</w:t>
      </w:r>
    </w:p>
    <w:p w14:paraId="2D510DF9"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La Jefatura de  la Oficina Regional de Acueductos Comunales (ORAC-AyA, Región Brunca).</w:t>
      </w:r>
    </w:p>
    <w:p w14:paraId="1991E792"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La Directora Regional del MIDEPLAN.</w:t>
      </w:r>
    </w:p>
    <w:p w14:paraId="0D6D906A"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Un representante de la Oficina de Gestión Local de la Municipalidad de Buenos Aires fungiendo como secretario y moderador del proceso. </w:t>
      </w:r>
    </w:p>
    <w:p w14:paraId="3F49EF76"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Un representante del Departamento de Desarrollo Urbano de la Municipalidad de Buenos Aires fungiendo como apoyo técnico del proceso. </w:t>
      </w:r>
    </w:p>
    <w:p w14:paraId="127465DD" w14:textId="77777777" w:rsidR="00B853B5" w:rsidRPr="00B853B5" w:rsidRDefault="00B853B5" w:rsidP="00B853B5">
      <w:pPr>
        <w:spacing w:line="240" w:lineRule="auto"/>
        <w:contextualSpacing/>
        <w:jc w:val="both"/>
        <w:rPr>
          <w:rFonts w:ascii="Garamond" w:eastAsia="Garamond" w:hAnsi="Garamond" w:cs="Garamond"/>
          <w:lang w:val="es-ES" w:eastAsia="en-US"/>
        </w:rPr>
      </w:pPr>
    </w:p>
    <w:p w14:paraId="16747EF1" w14:textId="77777777" w:rsidR="00B853B5" w:rsidRPr="00B853B5" w:rsidRDefault="00B853B5" w:rsidP="00B853B5">
      <w:pPr>
        <w:spacing w:after="0" w:line="240" w:lineRule="auto"/>
        <w:jc w:val="both"/>
        <w:rPr>
          <w:rFonts w:ascii="Garamond" w:eastAsia="Garamond" w:hAnsi="Garamond" w:cs="Garamond"/>
          <w:b/>
          <w:lang w:val="es-ES_tradnl" w:eastAsia="es-ES"/>
        </w:rPr>
      </w:pPr>
      <w:bookmarkStart w:id="40" w:name="_Toc158296372"/>
      <w:r w:rsidRPr="00B853B5">
        <w:rPr>
          <w:rFonts w:ascii="Garamond" w:eastAsia="Garamond" w:hAnsi="Garamond" w:cs="Garamond"/>
          <w:b/>
          <w:lang w:val="es-ES_tradnl" w:eastAsia="es-ES"/>
        </w:rPr>
        <w:t>Justificación</w:t>
      </w:r>
      <w:bookmarkEnd w:id="40"/>
      <w:r w:rsidRPr="00B853B5">
        <w:rPr>
          <w:rFonts w:ascii="Garamond" w:eastAsia="Garamond" w:hAnsi="Garamond" w:cs="Garamond"/>
          <w:b/>
          <w:lang w:val="es-ES_tradnl" w:eastAsia="es-ES"/>
        </w:rPr>
        <w:t>:</w:t>
      </w:r>
    </w:p>
    <w:p w14:paraId="0E36AB1C"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624F168E"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La condición y estado actual de la infraestructura de los acueductos administrados por ASADAS en el cantón de Buenos Aires.</w:t>
      </w:r>
    </w:p>
    <w:p w14:paraId="0F212712"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El incremento de la demanda hídrica para el consumo humano.</w:t>
      </w:r>
    </w:p>
    <w:p w14:paraId="05E49D15"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La vulnerabilidad que se tiene ante el acceso al agua potable por baja capacidad en aspectos organizacionales, legales y técnicos relacionados con estudios hidráulicos, hídricos y de infraestructura.</w:t>
      </w:r>
    </w:p>
    <w:p w14:paraId="2E6AE34E"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Necesidad de proyecciones orientadas al corto, mediano y largo plazo que sean dirigidas a la población meta que comprende el proyecto, 27 comunidades, unos 14000 habitantes aproximadamente distribuidos en 5 Asadas y en promedio unas 3527 previstas actuales orientado a una población meta de 30 mil habitantes al año 2050.</w:t>
      </w:r>
    </w:p>
    <w:p w14:paraId="559EF569" w14:textId="77777777" w:rsidR="00B853B5" w:rsidRPr="00B853B5" w:rsidRDefault="00B853B5" w:rsidP="00B853B5">
      <w:pPr>
        <w:numPr>
          <w:ilvl w:val="0"/>
          <w:numId w:val="1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Búsqueda de soluciones inmediatas para la consecución de recursos que puedan cubrir los costos en pre inversión que den paso a al mejoramiento la infraestructura que se tiene y la demanda creciente que se visualiza.</w:t>
      </w:r>
    </w:p>
    <w:p w14:paraId="4E39A153" w14:textId="77777777" w:rsidR="00B853B5" w:rsidRPr="00B853B5" w:rsidRDefault="00B853B5" w:rsidP="00B853B5">
      <w:pPr>
        <w:spacing w:after="200" w:line="240" w:lineRule="auto"/>
        <w:ind w:left="720"/>
        <w:contextualSpacing/>
        <w:jc w:val="both"/>
        <w:rPr>
          <w:rFonts w:ascii="Garamond" w:eastAsia="Garamond" w:hAnsi="Garamond" w:cs="Garamond"/>
          <w:lang w:val="es-ES" w:eastAsia="en-US"/>
        </w:rPr>
      </w:pPr>
    </w:p>
    <w:p w14:paraId="13EEC160"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GENERALIDADES DEL ÁREA DE ESTUDIO</w:t>
      </w:r>
    </w:p>
    <w:p w14:paraId="497D39A5" w14:textId="77777777" w:rsidR="00B853B5" w:rsidRPr="00B853B5" w:rsidRDefault="00B853B5" w:rsidP="00B853B5">
      <w:pPr>
        <w:tabs>
          <w:tab w:val="left" w:pos="426"/>
        </w:tabs>
        <w:spacing w:before="120" w:after="200" w:line="240" w:lineRule="auto"/>
        <w:ind w:left="360"/>
        <w:contextualSpacing/>
        <w:jc w:val="both"/>
        <w:rPr>
          <w:rFonts w:ascii="Garamond" w:hAnsi="Garamond" w:cs="Arial"/>
          <w:b/>
          <w:lang w:val="es-ES" w:eastAsia="en-US"/>
        </w:rPr>
      </w:pPr>
    </w:p>
    <w:p w14:paraId="64194A80"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Servicios públicos</w:t>
      </w:r>
    </w:p>
    <w:p w14:paraId="394C0F5B" w14:textId="77777777" w:rsidR="00B853B5" w:rsidRPr="00B853B5" w:rsidRDefault="00B853B5" w:rsidP="00B853B5">
      <w:pPr>
        <w:tabs>
          <w:tab w:val="left" w:pos="426"/>
        </w:tabs>
        <w:spacing w:before="120" w:after="200" w:line="240" w:lineRule="auto"/>
        <w:ind w:left="792"/>
        <w:contextualSpacing/>
        <w:jc w:val="both"/>
        <w:rPr>
          <w:rFonts w:ascii="Garamond" w:hAnsi="Garamond" w:cs="Arial"/>
          <w:b/>
          <w:color w:val="000000"/>
          <w:lang w:val="es-ES" w:eastAsia="en-US"/>
        </w:rPr>
      </w:pPr>
    </w:p>
    <w:p w14:paraId="35F5DD64" w14:textId="77777777" w:rsidR="00B853B5" w:rsidRPr="00B853B5" w:rsidRDefault="00B853B5" w:rsidP="00B853B5">
      <w:pPr>
        <w:spacing w:after="0" w:line="240" w:lineRule="auto"/>
        <w:jc w:val="both"/>
        <w:rPr>
          <w:rFonts w:ascii="Garamond" w:eastAsia="Garamond" w:hAnsi="Garamond" w:cs="Garamond"/>
          <w:b/>
          <w:lang w:val="es-ES_tradnl" w:eastAsia="es-ES"/>
        </w:rPr>
      </w:pPr>
      <w:bookmarkStart w:id="41" w:name="_Toc158296397"/>
      <w:r w:rsidRPr="00B853B5">
        <w:rPr>
          <w:rFonts w:ascii="Garamond" w:eastAsia="Garamond" w:hAnsi="Garamond" w:cs="Garamond"/>
          <w:b/>
          <w:lang w:val="es-ES_tradnl" w:eastAsia="es-ES"/>
        </w:rPr>
        <w:t>Centros de Educación</w:t>
      </w:r>
      <w:bookmarkEnd w:id="41"/>
      <w:r w:rsidRPr="00B853B5">
        <w:rPr>
          <w:rFonts w:ascii="Garamond" w:eastAsia="Garamond" w:hAnsi="Garamond" w:cs="Garamond"/>
          <w:b/>
          <w:lang w:val="es-ES_tradnl" w:eastAsia="es-ES"/>
        </w:rPr>
        <w:t xml:space="preserve"> </w:t>
      </w:r>
    </w:p>
    <w:p w14:paraId="343B1C2C"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5AB48B7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el sector educativo, el cantón de Buenos Aires cuenta con varias instituciones educativas, entre ellas, dos sedes de la universidad públicas: UNED y cuatro sedes de universidades privadas presentes, entre ellas la UMCA y UISIL. En el cantón de Buenos Aires existen en total 186 instituciones de educación, donde el 84.95% pertenece a sector educativo primario público y con una cobertura del 41.13% de las escuelas con educación preescolar. A nivel de la educación secundaria pública, la presencia de los colegios representa un 11.83%. Cabe destacar la presencia de los colegios en cada una de los territorios indígenas. En la educación primaria y secundaria privada un 1.61% tienen presencia en el cantón por medio de dos escuelas y un colegio.</w:t>
      </w:r>
    </w:p>
    <w:p w14:paraId="5B573902" w14:textId="3FD6D5DE" w:rsidR="00B853B5" w:rsidRDefault="00B853B5" w:rsidP="00B853B5">
      <w:pPr>
        <w:spacing w:after="0" w:line="240" w:lineRule="auto"/>
        <w:jc w:val="both"/>
        <w:rPr>
          <w:rFonts w:ascii="Garamond" w:eastAsia="Garamond" w:hAnsi="Garamond" w:cs="Garamond"/>
          <w:lang w:val="es-ES_tradnl" w:eastAsia="es-ES"/>
        </w:rPr>
      </w:pPr>
    </w:p>
    <w:p w14:paraId="2FD78230" w14:textId="79AA2B6C" w:rsidR="0030428C" w:rsidRDefault="0030428C" w:rsidP="00B853B5">
      <w:pPr>
        <w:spacing w:after="0" w:line="240" w:lineRule="auto"/>
        <w:jc w:val="both"/>
        <w:rPr>
          <w:rFonts w:ascii="Garamond" w:eastAsia="Garamond" w:hAnsi="Garamond" w:cs="Garamond"/>
          <w:lang w:val="es-ES_tradnl" w:eastAsia="es-ES"/>
        </w:rPr>
      </w:pPr>
    </w:p>
    <w:p w14:paraId="1050D316" w14:textId="6A1A9A3F" w:rsidR="0030428C" w:rsidRDefault="0030428C" w:rsidP="00B853B5">
      <w:pPr>
        <w:spacing w:after="0" w:line="240" w:lineRule="auto"/>
        <w:jc w:val="both"/>
        <w:rPr>
          <w:rFonts w:ascii="Garamond" w:eastAsia="Garamond" w:hAnsi="Garamond" w:cs="Garamond"/>
          <w:lang w:val="es-ES_tradnl" w:eastAsia="es-ES"/>
        </w:rPr>
      </w:pPr>
    </w:p>
    <w:p w14:paraId="199C6138" w14:textId="71264DFA" w:rsidR="0030428C" w:rsidRDefault="0030428C" w:rsidP="00B853B5">
      <w:pPr>
        <w:spacing w:after="0" w:line="240" w:lineRule="auto"/>
        <w:jc w:val="both"/>
        <w:rPr>
          <w:rFonts w:ascii="Garamond" w:eastAsia="Garamond" w:hAnsi="Garamond" w:cs="Garamond"/>
          <w:lang w:val="es-ES_tradnl" w:eastAsia="es-ES"/>
        </w:rPr>
      </w:pPr>
    </w:p>
    <w:p w14:paraId="658A6D40" w14:textId="4907EA8A" w:rsidR="0030428C" w:rsidRDefault="0030428C" w:rsidP="00B853B5">
      <w:pPr>
        <w:spacing w:after="0" w:line="240" w:lineRule="auto"/>
        <w:jc w:val="both"/>
        <w:rPr>
          <w:rFonts w:ascii="Garamond" w:eastAsia="Garamond" w:hAnsi="Garamond" w:cs="Garamond"/>
          <w:lang w:val="es-ES_tradnl" w:eastAsia="es-ES"/>
        </w:rPr>
      </w:pPr>
    </w:p>
    <w:p w14:paraId="4FBD8B65" w14:textId="1B906952" w:rsidR="0030428C" w:rsidRDefault="0030428C" w:rsidP="00B853B5">
      <w:pPr>
        <w:spacing w:after="0" w:line="240" w:lineRule="auto"/>
        <w:jc w:val="both"/>
        <w:rPr>
          <w:rFonts w:ascii="Garamond" w:eastAsia="Garamond" w:hAnsi="Garamond" w:cs="Garamond"/>
          <w:lang w:val="es-ES_tradnl" w:eastAsia="es-ES"/>
        </w:rPr>
      </w:pPr>
    </w:p>
    <w:p w14:paraId="0E251DFF" w14:textId="51BA2B5F" w:rsidR="0030428C" w:rsidRDefault="0030428C" w:rsidP="00B853B5">
      <w:pPr>
        <w:spacing w:after="0" w:line="240" w:lineRule="auto"/>
        <w:jc w:val="both"/>
        <w:rPr>
          <w:rFonts w:ascii="Garamond" w:eastAsia="Garamond" w:hAnsi="Garamond" w:cs="Garamond"/>
          <w:lang w:val="es-ES_tradnl" w:eastAsia="es-ES"/>
        </w:rPr>
      </w:pPr>
    </w:p>
    <w:p w14:paraId="6E1EB02E" w14:textId="4814583D" w:rsidR="0030428C" w:rsidRDefault="0030428C" w:rsidP="00B853B5">
      <w:pPr>
        <w:spacing w:after="0" w:line="240" w:lineRule="auto"/>
        <w:jc w:val="both"/>
        <w:rPr>
          <w:rFonts w:ascii="Garamond" w:eastAsia="Garamond" w:hAnsi="Garamond" w:cs="Garamond"/>
          <w:lang w:val="es-ES_tradnl" w:eastAsia="es-ES"/>
        </w:rPr>
      </w:pPr>
    </w:p>
    <w:p w14:paraId="4F89F09B" w14:textId="00987B15" w:rsidR="0030428C" w:rsidRDefault="0030428C" w:rsidP="00B853B5">
      <w:pPr>
        <w:spacing w:after="0" w:line="240" w:lineRule="auto"/>
        <w:jc w:val="both"/>
        <w:rPr>
          <w:rFonts w:ascii="Garamond" w:eastAsia="Garamond" w:hAnsi="Garamond" w:cs="Garamond"/>
          <w:lang w:val="es-ES_tradnl" w:eastAsia="es-ES"/>
        </w:rPr>
      </w:pPr>
    </w:p>
    <w:p w14:paraId="74B671FF" w14:textId="77777777" w:rsidR="0030428C" w:rsidRPr="00B853B5" w:rsidRDefault="0030428C" w:rsidP="00B853B5">
      <w:pPr>
        <w:spacing w:after="0" w:line="240" w:lineRule="auto"/>
        <w:jc w:val="both"/>
        <w:rPr>
          <w:rFonts w:ascii="Garamond" w:eastAsia="Garamond" w:hAnsi="Garamond" w:cs="Garamond"/>
          <w:lang w:val="es-ES_tradnl" w:eastAsia="es-ES"/>
        </w:rPr>
      </w:pPr>
    </w:p>
    <w:p w14:paraId="3C32E754" w14:textId="6E5DCC73" w:rsidR="00B853B5" w:rsidRPr="00B853B5" w:rsidRDefault="00B853B5" w:rsidP="00B853B5">
      <w:pPr>
        <w:spacing w:after="0" w:line="240" w:lineRule="auto"/>
        <w:jc w:val="center"/>
        <w:rPr>
          <w:rFonts w:ascii="Garamond" w:eastAsia="Garamond" w:hAnsi="Garamond" w:cs="Garamond"/>
          <w:i/>
          <w:lang w:val="es-ES_tradnl" w:eastAsia="es-ES"/>
        </w:rPr>
      </w:pPr>
      <w:bookmarkStart w:id="42" w:name="_Toc156390400"/>
      <w:r w:rsidRPr="00B853B5">
        <w:rPr>
          <w:rFonts w:ascii="Garamond" w:eastAsia="Garamond" w:hAnsi="Garamond" w:cs="Garamond"/>
          <w:i/>
          <w:lang w:val="es-ES_tradnl" w:eastAsia="es-ES"/>
        </w:rPr>
        <w:lastRenderedPageBreak/>
        <w:t xml:space="preserve">Gráfico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Gráfico_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2</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Cobertura de matrícula en la educación</w:t>
      </w:r>
      <w:bookmarkEnd w:id="42"/>
    </w:p>
    <w:p w14:paraId="07E1670C" w14:textId="4F2D443E" w:rsidR="00B853B5" w:rsidRPr="00B853B5" w:rsidRDefault="00B853B5" w:rsidP="00B853B5">
      <w:pPr>
        <w:spacing w:after="0" w:line="240" w:lineRule="auto"/>
        <w:jc w:val="center"/>
        <w:rPr>
          <w:rFonts w:ascii="Garamond" w:eastAsia="Times New Roman" w:hAnsi="Garamond" w:cs="Arial"/>
          <w:lang w:val="es-ES_tradnl" w:eastAsia="es-ES"/>
        </w:rPr>
      </w:pPr>
      <w:r w:rsidRPr="00B853B5">
        <w:rPr>
          <w:rFonts w:ascii="Garamond" w:eastAsia="Times New Roman" w:hAnsi="Garamond" w:cs="Times New Roman"/>
          <w:noProof/>
        </w:rPr>
        <w:drawing>
          <wp:inline distT="0" distB="0" distL="0" distR="0" wp14:anchorId="4A49999A" wp14:editId="6751FB94">
            <wp:extent cx="4469765" cy="1788160"/>
            <wp:effectExtent l="0" t="0" r="6985" b="2540"/>
            <wp:docPr id="323682023"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69765" cy="1788160"/>
                    </a:xfrm>
                    <a:prstGeom prst="rect">
                      <a:avLst/>
                    </a:prstGeom>
                    <a:noFill/>
                    <a:ln>
                      <a:noFill/>
                    </a:ln>
                  </pic:spPr>
                </pic:pic>
              </a:graphicData>
            </a:graphic>
          </wp:inline>
        </w:drawing>
      </w:r>
    </w:p>
    <w:p w14:paraId="6D3AEF8E"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Ministerio de Educación Pública.</w:t>
      </w:r>
    </w:p>
    <w:p w14:paraId="0904FD45" w14:textId="77777777" w:rsidR="00B853B5" w:rsidRPr="00B853B5" w:rsidRDefault="00B853B5" w:rsidP="00B853B5">
      <w:pPr>
        <w:spacing w:after="0" w:line="240" w:lineRule="auto"/>
        <w:jc w:val="both"/>
        <w:rPr>
          <w:rFonts w:ascii="Garamond" w:eastAsia="Garamond" w:hAnsi="Garamond" w:cs="Garamond"/>
          <w:b/>
          <w:lang w:val="es-ES_tradnl" w:eastAsia="es-ES"/>
        </w:rPr>
      </w:pPr>
      <w:bookmarkStart w:id="43" w:name="_Toc158296398"/>
      <w:r w:rsidRPr="00B853B5">
        <w:rPr>
          <w:rFonts w:ascii="Garamond" w:eastAsia="Garamond" w:hAnsi="Garamond" w:cs="Garamond"/>
          <w:b/>
          <w:lang w:val="es-ES_tradnl" w:eastAsia="es-ES"/>
        </w:rPr>
        <w:t>Instituciones Públicas</w:t>
      </w:r>
      <w:bookmarkEnd w:id="43"/>
    </w:p>
    <w:p w14:paraId="1F74FC16"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65F79E6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la siguiente tabla se identifican a nivel general 33 instituciones públicas, con presencia en el cantón de Buenos Aires. Cabe mencionar, que algunas de estas instituciones no cuentan con oficinas en Buenos Aires; sin embargo, brindan asistencia a la población y organizaciones.</w:t>
      </w:r>
    </w:p>
    <w:p w14:paraId="1DEB239A" w14:textId="144638F1" w:rsidR="00B853B5" w:rsidRPr="00B853B5" w:rsidRDefault="00B853B5" w:rsidP="00B853B5">
      <w:pPr>
        <w:spacing w:after="0" w:line="240" w:lineRule="auto"/>
        <w:jc w:val="both"/>
        <w:rPr>
          <w:rFonts w:ascii="Garamond" w:eastAsia="Garamond" w:hAnsi="Garamond" w:cs="Garamond"/>
          <w:lang w:val="es-ES_tradnl" w:eastAsia="es-ES"/>
        </w:rPr>
      </w:pPr>
    </w:p>
    <w:p w14:paraId="60C17BB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9B44B8F"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4C3A79C" w14:textId="251E4FB7" w:rsidR="00B853B5" w:rsidRPr="00B853B5" w:rsidRDefault="00B853B5" w:rsidP="00B853B5">
      <w:pPr>
        <w:spacing w:after="0" w:line="240" w:lineRule="auto"/>
        <w:jc w:val="center"/>
        <w:rPr>
          <w:rFonts w:ascii="Garamond" w:eastAsia="Garamond" w:hAnsi="Garamond" w:cs="Garamond"/>
          <w:i/>
          <w:lang w:val="es-ES_tradnl" w:eastAsia="es-ES"/>
        </w:rPr>
      </w:pPr>
      <w:bookmarkStart w:id="44" w:name="_Toc158296314"/>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4</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Instituciones Públicas</w:t>
      </w:r>
      <w:bookmarkEnd w:id="44"/>
    </w:p>
    <w:p w14:paraId="3101CC7C" w14:textId="63AF8638" w:rsidR="00B853B5" w:rsidRPr="00B853B5" w:rsidRDefault="00B853B5" w:rsidP="00B853B5">
      <w:pPr>
        <w:spacing w:after="0" w:line="240" w:lineRule="auto"/>
        <w:jc w:val="center"/>
        <w:rPr>
          <w:rFonts w:ascii="Garamond" w:eastAsia="Times New Roman" w:hAnsi="Garamond" w:cs="Arial"/>
          <w:lang w:val="es-ES_tradnl" w:eastAsia="es-ES"/>
        </w:rPr>
      </w:pPr>
      <w:r w:rsidRPr="00B853B5">
        <w:rPr>
          <w:rFonts w:ascii="Garamond" w:eastAsia="Times New Roman" w:hAnsi="Garamond" w:cs="Times New Roman"/>
          <w:noProof/>
        </w:rPr>
        <w:drawing>
          <wp:inline distT="0" distB="0" distL="0" distR="0" wp14:anchorId="04967454" wp14:editId="7E56D17C">
            <wp:extent cx="4476750" cy="4476750"/>
            <wp:effectExtent l="0" t="0" r="0" b="0"/>
            <wp:docPr id="534051575"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750" cy="4476750"/>
                    </a:xfrm>
                    <a:prstGeom prst="rect">
                      <a:avLst/>
                    </a:prstGeom>
                    <a:noFill/>
                    <a:ln>
                      <a:noFill/>
                    </a:ln>
                  </pic:spPr>
                </pic:pic>
              </a:graphicData>
            </a:graphic>
          </wp:inline>
        </w:drawing>
      </w:r>
    </w:p>
    <w:p w14:paraId="2D0E8F75"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INDER, Inventario de Actores.</w:t>
      </w:r>
    </w:p>
    <w:p w14:paraId="22A25040" w14:textId="77777777" w:rsidR="00B853B5" w:rsidRPr="00B853B5" w:rsidRDefault="00B853B5" w:rsidP="00B853B5">
      <w:pPr>
        <w:spacing w:after="0" w:line="240" w:lineRule="auto"/>
        <w:jc w:val="center"/>
        <w:rPr>
          <w:rFonts w:ascii="Garamond" w:eastAsia="Garamond" w:hAnsi="Garamond" w:cs="Garamond"/>
          <w:i/>
          <w:lang w:val="es-ES_tradnl" w:eastAsia="es-ES"/>
        </w:rPr>
      </w:pPr>
    </w:p>
    <w:p w14:paraId="47ED6B6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Según datos proporcionados por la Municipalidad de Buenos Aires. Actualmente existen mecanismos de articulación entre ella y las instituciones públicas como lo son: CCCI y sus dimensiones, COSEL, COLSE, RECAFS, Red Contra la Violencia Familiar, Red de niñez y adolescencia. Además, a nivel regional se cuenta con el mecanismo de articulación COREBRUNCA.</w:t>
      </w:r>
    </w:p>
    <w:p w14:paraId="7A3F6666"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Accesibilidad y transporte</w:t>
      </w:r>
    </w:p>
    <w:p w14:paraId="6D48588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B792E74"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cantón de Buenos Aires tiene una conexión con la </w:t>
      </w:r>
      <w:hyperlink r:id="rId21" w:tooltip="Ruta 2 (Costa Rica)" w:history="1">
        <w:r w:rsidRPr="00B853B5">
          <w:rPr>
            <w:rFonts w:ascii="Garamond" w:eastAsia="Garamond" w:hAnsi="Garamond" w:cs="Garamond"/>
            <w:lang w:val="es-ES_tradnl" w:eastAsia="es-ES"/>
          </w:rPr>
          <w:t>carretera</w:t>
        </w:r>
      </w:hyperlink>
      <w:r w:rsidRPr="00B853B5">
        <w:rPr>
          <w:rFonts w:ascii="Garamond" w:eastAsia="Garamond" w:hAnsi="Garamond" w:cs="Garamond"/>
          <w:lang w:val="es-ES_tradnl" w:eastAsia="es-ES"/>
        </w:rPr>
        <w:t xml:space="preserve"> Interamericana Sur y por lo tanto, es fácilmente accesible en automóvil. Al cantón lo atraviesan las siguientes rutas nacionales de carretera:</w:t>
      </w:r>
    </w:p>
    <w:p w14:paraId="42F7D1E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83CB335" w14:textId="6561CF0E" w:rsidR="00B853B5" w:rsidRPr="00B853B5" w:rsidRDefault="00B853B5" w:rsidP="00B853B5">
      <w:pPr>
        <w:widowControl w:val="0"/>
        <w:numPr>
          <w:ilvl w:val="0"/>
          <w:numId w:val="19"/>
        </w:numPr>
        <w:autoSpaceDE w:val="0"/>
        <w:autoSpaceDN w:val="0"/>
        <w:spacing w:after="0" w:line="240" w:lineRule="auto"/>
        <w:jc w:val="both"/>
        <w:rPr>
          <w:rFonts w:ascii="Garamond" w:eastAsia="Garamond" w:hAnsi="Garamond" w:cs="Garamond"/>
          <w:lang w:val="es-ES" w:eastAsia="en-US"/>
        </w:rPr>
      </w:pPr>
      <w:r w:rsidRPr="00B853B5">
        <w:rPr>
          <w:rFonts w:ascii="Garamond" w:hAnsi="Garamond" w:cs="Arial"/>
          <w:noProof/>
          <w:color w:val="3366CC"/>
        </w:rPr>
        <w:drawing>
          <wp:inline distT="0" distB="0" distL="0" distR="0" wp14:anchorId="1AF963A7" wp14:editId="0D03C9CF">
            <wp:extent cx="238760" cy="238760"/>
            <wp:effectExtent l="0" t="0" r="8890" b="8890"/>
            <wp:docPr id="775691382" name="Imagen 28" descr="https://upload.wikimedia.org/wikipedia/commons/thumb/0/03/CR_RNP_2.svg/25px-CR_RNP_2.svg.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s://upload.wikimedia.org/wikipedia/commons/thumb/0/03/CR_RNP_2.svg/25px-CR_RNP_2.svg.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238760"/>
                    </a:xfrm>
                    <a:prstGeom prst="rect">
                      <a:avLst/>
                    </a:prstGeom>
                    <a:noFill/>
                    <a:ln>
                      <a:noFill/>
                    </a:ln>
                  </pic:spPr>
                </pic:pic>
              </a:graphicData>
            </a:graphic>
          </wp:inline>
        </w:drawing>
      </w:r>
      <w:r w:rsidRPr="00B853B5">
        <w:rPr>
          <w:rFonts w:ascii="Garamond" w:hAnsi="Garamond" w:cs="Arial"/>
          <w:lang w:val="es-ES" w:eastAsia="en-US"/>
        </w:rPr>
        <w:t xml:space="preserve">   </w:t>
      </w:r>
      <w:r w:rsidRPr="00B853B5">
        <w:rPr>
          <w:rFonts w:ascii="Garamond" w:eastAsia="Garamond" w:hAnsi="Garamond" w:cs="Garamond"/>
          <w:lang w:val="es-ES" w:eastAsia="en-US"/>
        </w:rPr>
        <w:t xml:space="preserve">Ruta Nacional 2   </w:t>
      </w:r>
    </w:p>
    <w:p w14:paraId="0BB3D0BF" w14:textId="1D2E4ECC" w:rsidR="00B853B5" w:rsidRPr="00B853B5" w:rsidRDefault="00B853B5" w:rsidP="00B853B5">
      <w:pPr>
        <w:widowControl w:val="0"/>
        <w:numPr>
          <w:ilvl w:val="0"/>
          <w:numId w:val="1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noProof/>
        </w:rPr>
        <w:drawing>
          <wp:inline distT="0" distB="0" distL="0" distR="0" wp14:anchorId="6C70CCCA" wp14:editId="07AD449F">
            <wp:extent cx="238760" cy="238760"/>
            <wp:effectExtent l="0" t="0" r="8890" b="8890"/>
            <wp:docPr id="1239832968" name="Imagen 27" descr="https://upload.wikimedia.org/wikipedia/commons/thumb/5/5b/CR_RNS_246.svg/25px-CR_RNS_246.svg.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https://upload.wikimedia.org/wikipedia/commons/thumb/5/5b/CR_RNS_246.svg/25px-CR_RNS_246.svg.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760" cy="238760"/>
                    </a:xfrm>
                    <a:prstGeom prst="rect">
                      <a:avLst/>
                    </a:prstGeom>
                    <a:noFill/>
                    <a:ln>
                      <a:noFill/>
                    </a:ln>
                  </pic:spPr>
                </pic:pic>
              </a:graphicData>
            </a:graphic>
          </wp:inline>
        </w:drawing>
      </w:r>
      <w:r w:rsidRPr="00B853B5">
        <w:rPr>
          <w:rFonts w:ascii="Garamond" w:eastAsia="Garamond" w:hAnsi="Garamond" w:cs="Garamond"/>
          <w:lang w:val="es-ES" w:eastAsia="en-US"/>
        </w:rPr>
        <w:t xml:space="preserve">   Ruta Nacional 246   </w:t>
      </w:r>
    </w:p>
    <w:p w14:paraId="0C5BF6B9" w14:textId="7C256ED6" w:rsidR="00B853B5" w:rsidRPr="00B853B5" w:rsidRDefault="00B853B5" w:rsidP="00B853B5">
      <w:pPr>
        <w:widowControl w:val="0"/>
        <w:numPr>
          <w:ilvl w:val="0"/>
          <w:numId w:val="1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noProof/>
        </w:rPr>
        <w:drawing>
          <wp:inline distT="0" distB="0" distL="0" distR="0" wp14:anchorId="3E6D5A64" wp14:editId="5F37D64F">
            <wp:extent cx="238760" cy="231775"/>
            <wp:effectExtent l="0" t="0" r="8890" b="0"/>
            <wp:docPr id="1451598791" name="Imagen 26" descr="https://upload.wikimedia.org/wikipedia/commons/thumb/f/f4/CR_RNT_610.svg/25px-CR_RNT_610.svg.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https://upload.wikimedia.org/wikipedia/commons/thumb/f/f4/CR_RNT_610.svg/25px-CR_RNT_610.svg.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760" cy="231775"/>
                    </a:xfrm>
                    <a:prstGeom prst="rect">
                      <a:avLst/>
                    </a:prstGeom>
                    <a:noFill/>
                    <a:ln>
                      <a:noFill/>
                    </a:ln>
                  </pic:spPr>
                </pic:pic>
              </a:graphicData>
            </a:graphic>
          </wp:inline>
        </w:drawing>
      </w:r>
      <w:r w:rsidRPr="00B853B5">
        <w:rPr>
          <w:rFonts w:ascii="Garamond" w:eastAsia="Garamond" w:hAnsi="Garamond" w:cs="Garamond"/>
          <w:lang w:val="es-ES" w:eastAsia="en-US"/>
        </w:rPr>
        <w:t xml:space="preserve">   Ruta Nacional 610</w:t>
      </w:r>
    </w:p>
    <w:p w14:paraId="3F14C7B0" w14:textId="77777777" w:rsidR="00B853B5" w:rsidRPr="00B853B5" w:rsidRDefault="00B853B5" w:rsidP="00B853B5">
      <w:pPr>
        <w:spacing w:after="0" w:line="240" w:lineRule="auto"/>
        <w:jc w:val="both"/>
        <w:rPr>
          <w:rFonts w:ascii="Garamond" w:eastAsia="Times New Roman" w:hAnsi="Garamond" w:cs="Arial"/>
          <w:lang w:val="es-ES_tradnl" w:eastAsia="es-ES"/>
        </w:rPr>
      </w:pPr>
    </w:p>
    <w:p w14:paraId="1B3D726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el territorio Buenos Aires – Coto Brus existe una red vial de 2.363,6 km; donde el cantón de Buenos Aires cuenta con 1.442,49 km, con una superficie asfaltada de 24.7 km y en caminos de lastre y tierra hay 1.417,79 km.</w:t>
      </w:r>
    </w:p>
    <w:p w14:paraId="1F5B57A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E3E60E9"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Sobre el estado actual de la red vial territorial, de un total de 2.363,6 km, predominan los caminos en mal estado y pésimo de ambos cantones, donde la mayoría de la infraestructura vial territorial se encuentra en lastre o caminos de tierra, lo cual impacta negativamente el desarrollo económico, social, educativo y salud principalmente en época lluviosa.</w:t>
      </w:r>
    </w:p>
    <w:p w14:paraId="0A1889D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A6BA8C2" w14:textId="48AD71DD" w:rsidR="00B853B5" w:rsidRPr="00B853B5" w:rsidRDefault="00B853B5" w:rsidP="00B853B5">
      <w:pPr>
        <w:spacing w:after="0" w:line="240" w:lineRule="auto"/>
        <w:jc w:val="center"/>
        <w:rPr>
          <w:rFonts w:ascii="Garamond" w:eastAsia="Garamond" w:hAnsi="Garamond" w:cs="Garamond"/>
          <w:i/>
          <w:lang w:val="es-ES_tradnl" w:eastAsia="es-ES"/>
        </w:rPr>
      </w:pPr>
      <w:bookmarkStart w:id="45" w:name="_Toc156390399"/>
      <w:r w:rsidRPr="00B853B5">
        <w:rPr>
          <w:rFonts w:ascii="Garamond" w:eastAsia="Garamond" w:hAnsi="Garamond" w:cs="Garamond"/>
          <w:i/>
          <w:lang w:val="es-ES_tradnl" w:eastAsia="es-ES"/>
        </w:rPr>
        <w:t xml:space="preserve">Gráfico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Gráfico_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3</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Estado de la infraestructura vial Buenos Aires-Coto Brus</w:t>
      </w:r>
      <w:bookmarkEnd w:id="45"/>
    </w:p>
    <w:p w14:paraId="3F35FD28" w14:textId="55290A54" w:rsidR="00B853B5" w:rsidRPr="00B853B5" w:rsidRDefault="00B853B5" w:rsidP="00B853B5">
      <w:pPr>
        <w:spacing w:after="0" w:line="240" w:lineRule="auto"/>
        <w:jc w:val="center"/>
        <w:rPr>
          <w:rFonts w:ascii="Garamond" w:eastAsia="Times New Roman" w:hAnsi="Garamond" w:cs="Arial"/>
          <w:lang w:val="es-ES_tradnl" w:eastAsia="es-ES"/>
        </w:rPr>
      </w:pPr>
      <w:r w:rsidRPr="00B853B5">
        <w:rPr>
          <w:rFonts w:ascii="Garamond" w:eastAsia="Times New Roman" w:hAnsi="Garamond" w:cs="Times New Roman"/>
          <w:noProof/>
        </w:rPr>
        <w:drawing>
          <wp:inline distT="0" distB="0" distL="0" distR="0" wp14:anchorId="043195A9" wp14:editId="7003999D">
            <wp:extent cx="5200015" cy="2367915"/>
            <wp:effectExtent l="0" t="0" r="635" b="0"/>
            <wp:docPr id="183465494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0015" cy="2367915"/>
                    </a:xfrm>
                    <a:prstGeom prst="rect">
                      <a:avLst/>
                    </a:prstGeom>
                    <a:noFill/>
                    <a:ln>
                      <a:noFill/>
                    </a:ln>
                  </pic:spPr>
                </pic:pic>
              </a:graphicData>
            </a:graphic>
          </wp:inline>
        </w:drawing>
      </w:r>
    </w:p>
    <w:p w14:paraId="153DC9D7"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Unidades Técnicas Municipales Buenos Aires-Coto Brus.</w:t>
      </w:r>
    </w:p>
    <w:p w14:paraId="7E74FC91" w14:textId="77777777" w:rsidR="00B853B5" w:rsidRPr="00B853B5" w:rsidRDefault="00B853B5" w:rsidP="00B853B5">
      <w:pPr>
        <w:spacing w:after="0" w:line="240" w:lineRule="auto"/>
        <w:jc w:val="center"/>
        <w:rPr>
          <w:rFonts w:ascii="Garamond" w:eastAsia="Garamond" w:hAnsi="Garamond" w:cs="Garamond"/>
          <w:i/>
          <w:lang w:val="es-ES_tradnl" w:eastAsia="es-ES"/>
        </w:rPr>
      </w:pPr>
    </w:p>
    <w:p w14:paraId="690A411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Un importante acceso al territorio, es la vía aérea mediante dos pistas de aterrizaje, ubicadas en cada cantón. Estas vías son de suma importancia pues constituyen un medio para trasladar pacientes a otros centros de salud.</w:t>
      </w:r>
    </w:p>
    <w:p w14:paraId="4970A185" w14:textId="6BCD9B52" w:rsidR="00B853B5" w:rsidRDefault="00B853B5" w:rsidP="00B853B5">
      <w:pPr>
        <w:spacing w:after="0" w:line="240" w:lineRule="auto"/>
        <w:jc w:val="both"/>
        <w:rPr>
          <w:rFonts w:ascii="Garamond" w:eastAsia="Garamond" w:hAnsi="Garamond" w:cs="Garamond"/>
          <w:lang w:val="es-ES_tradnl" w:eastAsia="es-ES"/>
        </w:rPr>
      </w:pPr>
    </w:p>
    <w:p w14:paraId="49CC8D4D" w14:textId="4755AE32" w:rsidR="00196828" w:rsidRDefault="00196828" w:rsidP="00B853B5">
      <w:pPr>
        <w:spacing w:after="0" w:line="240" w:lineRule="auto"/>
        <w:jc w:val="both"/>
        <w:rPr>
          <w:rFonts w:ascii="Garamond" w:eastAsia="Garamond" w:hAnsi="Garamond" w:cs="Garamond"/>
          <w:lang w:val="es-ES_tradnl" w:eastAsia="es-ES"/>
        </w:rPr>
      </w:pPr>
    </w:p>
    <w:p w14:paraId="3D088B3B" w14:textId="65034007" w:rsidR="00196828" w:rsidRDefault="00196828" w:rsidP="00B853B5">
      <w:pPr>
        <w:spacing w:after="0" w:line="240" w:lineRule="auto"/>
        <w:jc w:val="both"/>
        <w:rPr>
          <w:rFonts w:ascii="Garamond" w:eastAsia="Garamond" w:hAnsi="Garamond" w:cs="Garamond"/>
          <w:lang w:val="es-ES_tradnl" w:eastAsia="es-ES"/>
        </w:rPr>
      </w:pPr>
    </w:p>
    <w:p w14:paraId="48BC3B83" w14:textId="77777777" w:rsidR="0030428C" w:rsidRDefault="0030428C" w:rsidP="00B853B5">
      <w:pPr>
        <w:spacing w:after="0" w:line="240" w:lineRule="auto"/>
        <w:jc w:val="both"/>
        <w:rPr>
          <w:rFonts w:ascii="Garamond" w:eastAsia="Garamond" w:hAnsi="Garamond" w:cs="Garamond"/>
          <w:lang w:val="es-ES_tradnl" w:eastAsia="es-ES"/>
        </w:rPr>
      </w:pPr>
    </w:p>
    <w:p w14:paraId="19F47AB5" w14:textId="77777777" w:rsidR="00196828" w:rsidRPr="00B853B5" w:rsidRDefault="00196828" w:rsidP="00B853B5">
      <w:pPr>
        <w:spacing w:after="0" w:line="240" w:lineRule="auto"/>
        <w:jc w:val="both"/>
        <w:rPr>
          <w:rFonts w:ascii="Garamond" w:eastAsia="Garamond" w:hAnsi="Garamond" w:cs="Garamond"/>
          <w:lang w:val="es-ES_tradnl" w:eastAsia="es-ES"/>
        </w:rPr>
      </w:pPr>
    </w:p>
    <w:p w14:paraId="00F136B3"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lastRenderedPageBreak/>
        <w:t>POBLACIÓN, PROYECCIONES Y DEMANDAS DE CAUDALES</w:t>
      </w:r>
    </w:p>
    <w:p w14:paraId="40CC1A2A" w14:textId="77777777" w:rsidR="00B853B5" w:rsidRPr="00B853B5" w:rsidRDefault="00B853B5" w:rsidP="00B853B5">
      <w:pPr>
        <w:tabs>
          <w:tab w:val="left" w:pos="426"/>
        </w:tabs>
        <w:spacing w:before="120" w:after="200" w:line="240" w:lineRule="auto"/>
        <w:ind w:left="360"/>
        <w:contextualSpacing/>
        <w:jc w:val="both"/>
        <w:rPr>
          <w:rFonts w:ascii="Garamond" w:hAnsi="Garamond" w:cs="Arial"/>
          <w:b/>
          <w:lang w:val="es-ES" w:eastAsia="en-US"/>
        </w:rPr>
      </w:pPr>
    </w:p>
    <w:p w14:paraId="71148C6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ha definido la cantidad de beneficiarios según el número de servicios que los consumidores están dispuestos a adquirir durante un período establecido de tiempo, con ciertas condiciones de precio, calidad, ingreso y preferencias de los consumidores. </w:t>
      </w:r>
    </w:p>
    <w:p w14:paraId="3C5A69B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3964A59"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objetivo de este análisis es verificar que existe o existirá un mercado insatisfecho dada la producción actual del servicio que el proyecto busca ofrecer. Por lo tanto, una correcta estimación de la oferta y demanda es fundamental para brindar mayor certidumbre al proyecto ante algún evento adverso.</w:t>
      </w:r>
    </w:p>
    <w:p w14:paraId="67AF335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Asimismo, se busca determinar la magnitud de la demanda que podría esperarse y conocer la composición, características y ubicación de los potenciales consumidores o beneficiarios y, con base en los resultados, poder diseñar alternativas, elaborar presupuestos y asignar recursos económicos, tecnológicos y humanos para la elaboración de un proyecto que satisfaga dicha demanda. </w:t>
      </w:r>
    </w:p>
    <w:p w14:paraId="47525A8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D674ABA"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46" w:name="_Toc158296409"/>
      <w:r w:rsidRPr="00B853B5">
        <w:rPr>
          <w:rFonts w:ascii="Garamond" w:eastAsia="Garamond" w:hAnsi="Garamond" w:cs="Garamond"/>
          <w:b/>
          <w:lang w:val="es-ES" w:eastAsia="en-US"/>
        </w:rPr>
        <w:t>Estimación de la población</w:t>
      </w:r>
      <w:bookmarkEnd w:id="46"/>
    </w:p>
    <w:p w14:paraId="3EAA941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0FF297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Una vez identificado el problema y percibida la necesidad, se identifica y cuantifica la población que será atendida por el proyecto, como un paso previo a la estimación de la demanda por el bien o servicio que proveerá el proyecto en estudio. </w:t>
      </w:r>
    </w:p>
    <w:p w14:paraId="47E78E0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Para ello, se identifica primero la población de referencia que corresponde a la población total del área de influencia del proyecto, perteneciente al grupo en estudio. A partir de esta población se pueden identificar dos tipos de poblaciones:</w:t>
      </w:r>
    </w:p>
    <w:p w14:paraId="194098C8" w14:textId="77777777" w:rsidR="00B853B5" w:rsidRPr="00B853B5" w:rsidRDefault="00B853B5" w:rsidP="00B853B5">
      <w:pPr>
        <w:spacing w:after="200" w:line="240" w:lineRule="auto"/>
        <w:contextualSpacing/>
        <w:jc w:val="both"/>
        <w:rPr>
          <w:rFonts w:ascii="Garamond" w:hAnsi="Garamond" w:cs="Arial"/>
          <w:lang w:val="es-ES" w:eastAsia="en-US"/>
        </w:rPr>
      </w:pPr>
    </w:p>
    <w:p w14:paraId="5E31FC42" w14:textId="77777777" w:rsidR="00B853B5" w:rsidRPr="00B853B5" w:rsidRDefault="00B853B5" w:rsidP="00B853B5">
      <w:pPr>
        <w:numPr>
          <w:ilvl w:val="2"/>
          <w:numId w:val="18"/>
        </w:numPr>
        <w:tabs>
          <w:tab w:val="left" w:pos="426"/>
        </w:tabs>
        <w:spacing w:before="120" w:after="0" w:line="240" w:lineRule="auto"/>
        <w:jc w:val="both"/>
        <w:rPr>
          <w:rFonts w:ascii="Garamond" w:hAnsi="Garamond" w:cs="Arial"/>
          <w:b/>
          <w:lang w:val="es-ES" w:eastAsia="en-US"/>
        </w:rPr>
      </w:pPr>
      <w:bookmarkStart w:id="47" w:name="_Toc158296410"/>
      <w:r w:rsidRPr="00B853B5">
        <w:rPr>
          <w:rFonts w:ascii="Garamond" w:eastAsia="Garamond" w:hAnsi="Garamond" w:cs="Garamond"/>
          <w:b/>
          <w:lang w:val="es-ES" w:eastAsia="en-US"/>
        </w:rPr>
        <w:t>Población de objetivo</w:t>
      </w:r>
      <w:bookmarkEnd w:id="47"/>
    </w:p>
    <w:p w14:paraId="3EA7546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45CF65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Es aquella parte de la población afectada a la que el proyecto, una vez examinados los criterios y restricciones, está en condiciones reales de atender, es decir, aquella que será beneficiada y atendida por el proyecto. Esta población se constituye en la meta del proyecto y constituirá la base de su dimensionamiento. </w:t>
      </w:r>
    </w:p>
    <w:p w14:paraId="6D64218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5682146"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toma de referencia la lista actual de abonados de las Asadas y la información real suministrada por estas entidades. </w:t>
      </w:r>
    </w:p>
    <w:p w14:paraId="76D1486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5D4812C"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Asada Volcán</w:t>
      </w:r>
    </w:p>
    <w:p w14:paraId="546C4D53"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59DF48E9"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general para la Asada Volcán se registran 1256 previstas, para un total al presente de aproximadamente 6105 personas servidas.</w:t>
      </w:r>
    </w:p>
    <w:p w14:paraId="65FCF1BA"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3D259AB" w14:textId="77777777" w:rsidR="00B853B5" w:rsidRPr="00B853B5" w:rsidRDefault="00B853B5" w:rsidP="00B853B5">
      <w:pPr>
        <w:spacing w:after="0" w:line="240" w:lineRule="auto"/>
        <w:jc w:val="both"/>
        <w:rPr>
          <w:rFonts w:ascii="Garamond" w:eastAsia="Times New Roman" w:hAnsi="Garamond" w:cs="Arial"/>
          <w:bCs/>
          <w:color w:val="000000"/>
          <w:lang w:val="es-ES_tradnl" w:eastAsia="es-ES"/>
        </w:rPr>
      </w:pPr>
      <w:r w:rsidRPr="00B853B5">
        <w:rPr>
          <w:rFonts w:ascii="Garamond" w:eastAsia="Garamond" w:hAnsi="Garamond" w:cs="Garamond"/>
          <w:lang w:val="es-ES_tradnl" w:eastAsia="es-ES"/>
        </w:rPr>
        <w:t>Las características principales de la población atendida por la Asada Volcán son las siguientes</w:t>
      </w:r>
      <w:r w:rsidRPr="00B853B5">
        <w:rPr>
          <w:rFonts w:ascii="Garamond" w:eastAsia="Times New Roman" w:hAnsi="Garamond" w:cs="Arial"/>
          <w:bCs/>
          <w:color w:val="000000"/>
          <w:lang w:val="es-ES_tradnl" w:eastAsia="es-ES"/>
        </w:rPr>
        <w:t xml:space="preserve">: </w:t>
      </w:r>
    </w:p>
    <w:p w14:paraId="27C6BA95" w14:textId="77777777" w:rsidR="00B853B5" w:rsidRPr="00B853B5" w:rsidRDefault="00B853B5" w:rsidP="00B853B5">
      <w:pPr>
        <w:spacing w:after="0" w:line="240" w:lineRule="auto"/>
        <w:jc w:val="both"/>
        <w:rPr>
          <w:rFonts w:ascii="Garamond" w:eastAsia="Times New Roman" w:hAnsi="Garamond" w:cs="Arial"/>
          <w:bCs/>
          <w:color w:val="000000"/>
          <w:lang w:val="es-ES_tradnl" w:eastAsia="es-ES"/>
        </w:rPr>
      </w:pPr>
    </w:p>
    <w:p w14:paraId="0DF0A838" w14:textId="4B15C1E8" w:rsidR="00B853B5" w:rsidRPr="00B853B5" w:rsidRDefault="00B853B5" w:rsidP="00B853B5">
      <w:pPr>
        <w:spacing w:after="0" w:line="240" w:lineRule="auto"/>
        <w:jc w:val="center"/>
        <w:rPr>
          <w:rFonts w:ascii="Garamond" w:eastAsia="Garamond" w:hAnsi="Garamond" w:cs="Garamond"/>
          <w:i/>
          <w:lang w:val="es-ES_tradnl" w:eastAsia="es-ES"/>
        </w:rPr>
      </w:pPr>
      <w:bookmarkStart w:id="48" w:name="_Toc158296329"/>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5</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Número y tipo de abonados de la Asada Volcán</w:t>
      </w:r>
      <w:bookmarkEnd w:id="48"/>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62"/>
        <w:gridCol w:w="5323"/>
        <w:gridCol w:w="2943"/>
      </w:tblGrid>
      <w:tr w:rsidR="00B853B5" w:rsidRPr="00B853B5" w14:paraId="64F32031" w14:textId="77777777" w:rsidTr="00EF750D">
        <w:tc>
          <w:tcPr>
            <w:tcW w:w="562" w:type="dxa"/>
            <w:tcBorders>
              <w:bottom w:val="single" w:sz="12" w:space="0" w:color="8EAADB"/>
            </w:tcBorders>
            <w:vAlign w:val="center"/>
          </w:tcPr>
          <w:p w14:paraId="647227C3"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IT</w:t>
            </w:r>
          </w:p>
        </w:tc>
        <w:tc>
          <w:tcPr>
            <w:tcW w:w="5323" w:type="dxa"/>
            <w:tcBorders>
              <w:bottom w:val="single" w:sz="12" w:space="0" w:color="8EAADB"/>
            </w:tcBorders>
          </w:tcPr>
          <w:p w14:paraId="0A6C3F42"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Tarifa / Tipo de servicio</w:t>
            </w:r>
          </w:p>
        </w:tc>
        <w:tc>
          <w:tcPr>
            <w:tcW w:w="2943" w:type="dxa"/>
            <w:tcBorders>
              <w:bottom w:val="single" w:sz="12" w:space="0" w:color="8EAADB"/>
            </w:tcBorders>
          </w:tcPr>
          <w:p w14:paraId="75C36B2A"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Cantidad</w:t>
            </w:r>
          </w:p>
        </w:tc>
      </w:tr>
      <w:tr w:rsidR="00B853B5" w:rsidRPr="00B853B5" w14:paraId="7534D1E2" w14:textId="77777777" w:rsidTr="00EF750D">
        <w:tc>
          <w:tcPr>
            <w:tcW w:w="562" w:type="dxa"/>
            <w:vAlign w:val="center"/>
          </w:tcPr>
          <w:p w14:paraId="5E26F468"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w:t>
            </w:r>
          </w:p>
        </w:tc>
        <w:tc>
          <w:tcPr>
            <w:tcW w:w="5323" w:type="dxa"/>
          </w:tcPr>
          <w:p w14:paraId="177B163F"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Residencial</w:t>
            </w:r>
          </w:p>
        </w:tc>
        <w:tc>
          <w:tcPr>
            <w:tcW w:w="2943" w:type="dxa"/>
          </w:tcPr>
          <w:p w14:paraId="681127E8"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1221</w:t>
            </w:r>
          </w:p>
        </w:tc>
      </w:tr>
      <w:tr w:rsidR="00B853B5" w:rsidRPr="00B853B5" w14:paraId="1E80D212" w14:textId="77777777" w:rsidTr="00EF750D">
        <w:tc>
          <w:tcPr>
            <w:tcW w:w="562" w:type="dxa"/>
            <w:vAlign w:val="center"/>
          </w:tcPr>
          <w:p w14:paraId="0664CCCE"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w:t>
            </w:r>
          </w:p>
        </w:tc>
        <w:tc>
          <w:tcPr>
            <w:tcW w:w="5323" w:type="dxa"/>
          </w:tcPr>
          <w:p w14:paraId="6411BE7F"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Comercial y servicios</w:t>
            </w:r>
          </w:p>
        </w:tc>
        <w:tc>
          <w:tcPr>
            <w:tcW w:w="2943" w:type="dxa"/>
          </w:tcPr>
          <w:p w14:paraId="17C5E8CD"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20</w:t>
            </w:r>
          </w:p>
        </w:tc>
      </w:tr>
      <w:tr w:rsidR="00B853B5" w:rsidRPr="00B853B5" w14:paraId="78402F91" w14:textId="77777777" w:rsidTr="00EF750D">
        <w:tc>
          <w:tcPr>
            <w:tcW w:w="562" w:type="dxa"/>
            <w:vAlign w:val="center"/>
          </w:tcPr>
          <w:p w14:paraId="4F07CEF6"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3</w:t>
            </w:r>
          </w:p>
        </w:tc>
        <w:tc>
          <w:tcPr>
            <w:tcW w:w="5323" w:type="dxa"/>
          </w:tcPr>
          <w:p w14:paraId="799B85B6"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Institucional</w:t>
            </w:r>
          </w:p>
        </w:tc>
        <w:tc>
          <w:tcPr>
            <w:tcW w:w="2943" w:type="dxa"/>
          </w:tcPr>
          <w:p w14:paraId="5E6588DB"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13</w:t>
            </w:r>
          </w:p>
        </w:tc>
      </w:tr>
      <w:tr w:rsidR="00B853B5" w:rsidRPr="00B853B5" w14:paraId="5CFB55A5" w14:textId="77777777" w:rsidTr="00EF750D">
        <w:tc>
          <w:tcPr>
            <w:tcW w:w="562" w:type="dxa"/>
            <w:vAlign w:val="center"/>
          </w:tcPr>
          <w:p w14:paraId="516DD119"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4</w:t>
            </w:r>
          </w:p>
        </w:tc>
        <w:tc>
          <w:tcPr>
            <w:tcW w:w="5323" w:type="dxa"/>
          </w:tcPr>
          <w:p w14:paraId="7CFB9CFF"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Industria</w:t>
            </w:r>
          </w:p>
        </w:tc>
        <w:tc>
          <w:tcPr>
            <w:tcW w:w="2943" w:type="dxa"/>
          </w:tcPr>
          <w:p w14:paraId="5BC2D893"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2</w:t>
            </w:r>
          </w:p>
        </w:tc>
      </w:tr>
      <w:tr w:rsidR="00B853B5" w:rsidRPr="00B853B5" w14:paraId="0307BA9B" w14:textId="77777777" w:rsidTr="00EF750D">
        <w:tc>
          <w:tcPr>
            <w:tcW w:w="562" w:type="dxa"/>
            <w:vAlign w:val="center"/>
          </w:tcPr>
          <w:p w14:paraId="31117767"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p>
        </w:tc>
        <w:tc>
          <w:tcPr>
            <w:tcW w:w="5323" w:type="dxa"/>
          </w:tcPr>
          <w:p w14:paraId="061E89CE" w14:textId="77777777" w:rsidR="00B853B5" w:rsidRPr="00B853B5" w:rsidRDefault="00B853B5" w:rsidP="00B853B5">
            <w:pPr>
              <w:spacing w:line="240" w:lineRule="auto"/>
              <w:rPr>
                <w:rFonts w:ascii="Garamond" w:hAnsi="Garamond" w:cs="Arial"/>
                <w:b/>
                <w:lang w:val="es-ES_tradnl" w:eastAsia="es-ES"/>
              </w:rPr>
            </w:pPr>
            <w:r w:rsidRPr="00B853B5">
              <w:rPr>
                <w:rFonts w:ascii="Garamond" w:eastAsia="Garamond" w:hAnsi="Garamond" w:cs="Garamond"/>
                <w:b/>
                <w:lang w:val="es-ES_tradnl" w:eastAsia="es-ES"/>
              </w:rPr>
              <w:t>TOTAL</w:t>
            </w:r>
          </w:p>
        </w:tc>
        <w:tc>
          <w:tcPr>
            <w:tcW w:w="2943" w:type="dxa"/>
          </w:tcPr>
          <w:p w14:paraId="5C996014"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1256</w:t>
            </w:r>
          </w:p>
        </w:tc>
      </w:tr>
    </w:tbl>
    <w:p w14:paraId="5A8E8FE5"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lastRenderedPageBreak/>
        <w:t>Fuente: Asada Volcán (8/abril/2026).</w:t>
      </w:r>
    </w:p>
    <w:p w14:paraId="2A3317E4"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Asada El Carmen </w:t>
      </w:r>
    </w:p>
    <w:p w14:paraId="05284C31"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75FF966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Las características principales de la población atendida por la Asada El Carmen son las siguientes: </w:t>
      </w:r>
    </w:p>
    <w:p w14:paraId="693A5D9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F243D4B" w14:textId="4DFC7436" w:rsidR="00B853B5" w:rsidRPr="00B853B5" w:rsidRDefault="00B853B5" w:rsidP="00B853B5">
      <w:pPr>
        <w:spacing w:after="0" w:line="240" w:lineRule="auto"/>
        <w:jc w:val="center"/>
        <w:rPr>
          <w:rFonts w:ascii="Garamond" w:eastAsia="Garamond" w:hAnsi="Garamond" w:cs="Garamond"/>
          <w:i/>
          <w:lang w:val="es-ES_tradnl" w:eastAsia="es-ES"/>
        </w:rPr>
      </w:pPr>
      <w:bookmarkStart w:id="49" w:name="_Toc158296330"/>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6</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Número y tipo de abonados de la Asada El Carmen</w:t>
      </w:r>
      <w:bookmarkEnd w:id="49"/>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62"/>
        <w:gridCol w:w="5323"/>
        <w:gridCol w:w="2943"/>
      </w:tblGrid>
      <w:tr w:rsidR="00B853B5" w:rsidRPr="00B853B5" w14:paraId="3EFB02CC" w14:textId="77777777" w:rsidTr="00EF750D">
        <w:tc>
          <w:tcPr>
            <w:tcW w:w="562" w:type="dxa"/>
            <w:tcBorders>
              <w:bottom w:val="single" w:sz="12" w:space="0" w:color="8EAADB"/>
            </w:tcBorders>
            <w:vAlign w:val="center"/>
          </w:tcPr>
          <w:p w14:paraId="2C505A3D"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IT</w:t>
            </w:r>
          </w:p>
        </w:tc>
        <w:tc>
          <w:tcPr>
            <w:tcW w:w="5323" w:type="dxa"/>
            <w:tcBorders>
              <w:bottom w:val="single" w:sz="12" w:space="0" w:color="8EAADB"/>
            </w:tcBorders>
          </w:tcPr>
          <w:p w14:paraId="21A29088"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Tarifa</w:t>
            </w:r>
          </w:p>
        </w:tc>
        <w:tc>
          <w:tcPr>
            <w:tcW w:w="2943" w:type="dxa"/>
            <w:tcBorders>
              <w:bottom w:val="single" w:sz="12" w:space="0" w:color="8EAADB"/>
            </w:tcBorders>
          </w:tcPr>
          <w:p w14:paraId="748F77FC"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Cantidad</w:t>
            </w:r>
          </w:p>
        </w:tc>
      </w:tr>
      <w:tr w:rsidR="00B853B5" w:rsidRPr="00B853B5" w14:paraId="28F74794" w14:textId="77777777" w:rsidTr="00EF750D">
        <w:tc>
          <w:tcPr>
            <w:tcW w:w="562" w:type="dxa"/>
            <w:vAlign w:val="center"/>
          </w:tcPr>
          <w:p w14:paraId="3EA71683"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w:t>
            </w:r>
          </w:p>
        </w:tc>
        <w:tc>
          <w:tcPr>
            <w:tcW w:w="5323" w:type="dxa"/>
          </w:tcPr>
          <w:p w14:paraId="2B178798" w14:textId="77777777" w:rsidR="00B853B5" w:rsidRPr="00B853B5" w:rsidRDefault="00B853B5" w:rsidP="00B853B5">
            <w:pPr>
              <w:spacing w:line="240" w:lineRule="auto"/>
              <w:rPr>
                <w:rFonts w:ascii="Garamond" w:eastAsia="Garamond" w:hAnsi="Garamond" w:cs="Garamond"/>
                <w:color w:val="FF0000"/>
                <w:lang w:val="es-ES_tradnl" w:eastAsia="es-ES"/>
              </w:rPr>
            </w:pPr>
            <w:r w:rsidRPr="00B853B5">
              <w:rPr>
                <w:rFonts w:ascii="Garamond" w:eastAsia="Garamond" w:hAnsi="Garamond" w:cs="Garamond"/>
                <w:lang w:val="es-ES_tradnl" w:eastAsia="es-ES"/>
              </w:rPr>
              <w:t>Residencial</w:t>
            </w:r>
            <w:r w:rsidRPr="00B853B5">
              <w:rPr>
                <w:rFonts w:ascii="Garamond" w:eastAsia="Garamond" w:hAnsi="Garamond" w:cs="Garamond"/>
                <w:color w:val="FF0000"/>
                <w:lang w:val="es-ES_tradnl" w:eastAsia="es-ES"/>
              </w:rPr>
              <w:t xml:space="preserve"> </w:t>
            </w:r>
          </w:p>
        </w:tc>
        <w:tc>
          <w:tcPr>
            <w:tcW w:w="2943" w:type="dxa"/>
          </w:tcPr>
          <w:p w14:paraId="40B98A31" w14:textId="77777777" w:rsidR="00B853B5" w:rsidRPr="00B853B5" w:rsidRDefault="00B853B5" w:rsidP="00B853B5">
            <w:pPr>
              <w:spacing w:line="240" w:lineRule="auto"/>
              <w:jc w:val="center"/>
              <w:rPr>
                <w:rFonts w:ascii="Garamond" w:eastAsia="Garamond" w:hAnsi="Garamond" w:cs="Garamond"/>
                <w:b/>
                <w:lang w:val="es-ES_tradnl" w:eastAsia="es-ES"/>
              </w:rPr>
            </w:pPr>
            <w:r w:rsidRPr="00B853B5">
              <w:rPr>
                <w:rFonts w:ascii="Garamond" w:eastAsia="Garamond" w:hAnsi="Garamond" w:cs="Garamond"/>
                <w:b/>
                <w:lang w:val="es-ES_tradnl" w:eastAsia="es-ES"/>
              </w:rPr>
              <w:t>771</w:t>
            </w:r>
          </w:p>
        </w:tc>
      </w:tr>
      <w:tr w:rsidR="00B853B5" w:rsidRPr="00B853B5" w14:paraId="103F212F" w14:textId="77777777" w:rsidTr="00EF750D">
        <w:tc>
          <w:tcPr>
            <w:tcW w:w="562" w:type="dxa"/>
            <w:vAlign w:val="center"/>
          </w:tcPr>
          <w:p w14:paraId="3181C113"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w:t>
            </w:r>
          </w:p>
        </w:tc>
        <w:tc>
          <w:tcPr>
            <w:tcW w:w="5323" w:type="dxa"/>
          </w:tcPr>
          <w:p w14:paraId="59D8B43E"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Residencial pobreza básica</w:t>
            </w:r>
          </w:p>
        </w:tc>
        <w:tc>
          <w:tcPr>
            <w:tcW w:w="2943" w:type="dxa"/>
          </w:tcPr>
          <w:p w14:paraId="69878D28" w14:textId="77777777" w:rsidR="00B853B5" w:rsidRPr="00B853B5" w:rsidRDefault="00B853B5" w:rsidP="00B853B5">
            <w:pPr>
              <w:spacing w:line="240" w:lineRule="auto"/>
              <w:jc w:val="center"/>
              <w:rPr>
                <w:rFonts w:ascii="Garamond" w:eastAsia="Garamond" w:hAnsi="Garamond" w:cs="Garamond"/>
                <w:b/>
                <w:lang w:val="es-ES_tradnl" w:eastAsia="es-ES"/>
              </w:rPr>
            </w:pPr>
            <w:r w:rsidRPr="00B853B5">
              <w:rPr>
                <w:rFonts w:ascii="Garamond" w:eastAsia="Garamond" w:hAnsi="Garamond" w:cs="Garamond"/>
                <w:b/>
                <w:lang w:val="es-ES_tradnl" w:eastAsia="es-ES"/>
              </w:rPr>
              <w:t>17</w:t>
            </w:r>
          </w:p>
        </w:tc>
      </w:tr>
      <w:tr w:rsidR="00B853B5" w:rsidRPr="00B853B5" w14:paraId="7DC0391C" w14:textId="77777777" w:rsidTr="00EF750D">
        <w:tc>
          <w:tcPr>
            <w:tcW w:w="562" w:type="dxa"/>
            <w:vAlign w:val="center"/>
          </w:tcPr>
          <w:p w14:paraId="60E8BFE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3</w:t>
            </w:r>
          </w:p>
        </w:tc>
        <w:tc>
          <w:tcPr>
            <w:tcW w:w="5323" w:type="dxa"/>
          </w:tcPr>
          <w:p w14:paraId="5C169A64"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Residencial pobreza extrema</w:t>
            </w:r>
          </w:p>
        </w:tc>
        <w:tc>
          <w:tcPr>
            <w:tcW w:w="2943" w:type="dxa"/>
          </w:tcPr>
          <w:p w14:paraId="6A2DE53D" w14:textId="77777777" w:rsidR="00B853B5" w:rsidRPr="00B853B5" w:rsidRDefault="00B853B5" w:rsidP="00B853B5">
            <w:pPr>
              <w:spacing w:line="240" w:lineRule="auto"/>
              <w:jc w:val="center"/>
              <w:rPr>
                <w:rFonts w:ascii="Garamond" w:eastAsia="Garamond" w:hAnsi="Garamond" w:cs="Garamond"/>
                <w:b/>
                <w:lang w:val="es-ES_tradnl" w:eastAsia="es-ES"/>
              </w:rPr>
            </w:pPr>
            <w:r w:rsidRPr="00B853B5">
              <w:rPr>
                <w:rFonts w:ascii="Garamond" w:eastAsia="Garamond" w:hAnsi="Garamond" w:cs="Garamond"/>
                <w:b/>
                <w:lang w:val="es-ES_tradnl" w:eastAsia="es-ES"/>
              </w:rPr>
              <w:t>19</w:t>
            </w:r>
          </w:p>
        </w:tc>
      </w:tr>
      <w:tr w:rsidR="00B853B5" w:rsidRPr="00B853B5" w14:paraId="6A3BAA67" w14:textId="77777777" w:rsidTr="00EF750D">
        <w:tc>
          <w:tcPr>
            <w:tcW w:w="562" w:type="dxa"/>
            <w:vAlign w:val="center"/>
          </w:tcPr>
          <w:p w14:paraId="525BF336"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4</w:t>
            </w:r>
          </w:p>
        </w:tc>
        <w:tc>
          <w:tcPr>
            <w:tcW w:w="5323" w:type="dxa"/>
          </w:tcPr>
          <w:p w14:paraId="2C8E4B31"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Comercial y servicios</w:t>
            </w:r>
          </w:p>
        </w:tc>
        <w:tc>
          <w:tcPr>
            <w:tcW w:w="2943" w:type="dxa"/>
          </w:tcPr>
          <w:p w14:paraId="69E751D8" w14:textId="77777777" w:rsidR="00B853B5" w:rsidRPr="00B853B5" w:rsidRDefault="00B853B5" w:rsidP="00B853B5">
            <w:pPr>
              <w:spacing w:line="240" w:lineRule="auto"/>
              <w:jc w:val="center"/>
              <w:rPr>
                <w:rFonts w:ascii="Garamond" w:eastAsia="Garamond" w:hAnsi="Garamond" w:cs="Garamond"/>
                <w:b/>
                <w:lang w:val="es-ES_tradnl" w:eastAsia="es-ES"/>
              </w:rPr>
            </w:pPr>
            <w:r w:rsidRPr="00B853B5">
              <w:rPr>
                <w:rFonts w:ascii="Garamond" w:eastAsia="Garamond" w:hAnsi="Garamond" w:cs="Garamond"/>
                <w:b/>
                <w:lang w:val="es-ES_tradnl" w:eastAsia="es-ES"/>
              </w:rPr>
              <w:t>63</w:t>
            </w:r>
          </w:p>
        </w:tc>
      </w:tr>
      <w:tr w:rsidR="00B853B5" w:rsidRPr="00B853B5" w14:paraId="56A24249" w14:textId="77777777" w:rsidTr="00EF750D">
        <w:tc>
          <w:tcPr>
            <w:tcW w:w="562" w:type="dxa"/>
            <w:vAlign w:val="center"/>
          </w:tcPr>
          <w:p w14:paraId="0E05109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5</w:t>
            </w:r>
          </w:p>
        </w:tc>
        <w:tc>
          <w:tcPr>
            <w:tcW w:w="5323" w:type="dxa"/>
          </w:tcPr>
          <w:p w14:paraId="7359CB77" w14:textId="77777777" w:rsidR="00B853B5" w:rsidRPr="00B853B5" w:rsidRDefault="00B853B5" w:rsidP="00B853B5">
            <w:pPr>
              <w:spacing w:line="240" w:lineRule="auto"/>
              <w:rPr>
                <w:rFonts w:ascii="Garamond" w:eastAsia="Garamond" w:hAnsi="Garamond" w:cs="Garamond"/>
                <w:lang w:val="es-ES_tradnl" w:eastAsia="es-ES"/>
              </w:rPr>
            </w:pPr>
            <w:r w:rsidRPr="00B853B5">
              <w:rPr>
                <w:rFonts w:ascii="Garamond" w:eastAsia="Garamond" w:hAnsi="Garamond" w:cs="Garamond"/>
                <w:lang w:val="es-ES_tradnl" w:eastAsia="es-ES"/>
              </w:rPr>
              <w:t>Preferencial</w:t>
            </w:r>
          </w:p>
        </w:tc>
        <w:tc>
          <w:tcPr>
            <w:tcW w:w="2943" w:type="dxa"/>
          </w:tcPr>
          <w:p w14:paraId="56DF7BEE"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13</w:t>
            </w:r>
          </w:p>
        </w:tc>
      </w:tr>
      <w:tr w:rsidR="00B853B5" w:rsidRPr="00B853B5" w14:paraId="132C6D5D" w14:textId="77777777" w:rsidTr="00EF750D">
        <w:trPr>
          <w:trHeight w:val="70"/>
        </w:trPr>
        <w:tc>
          <w:tcPr>
            <w:tcW w:w="562" w:type="dxa"/>
            <w:vAlign w:val="center"/>
          </w:tcPr>
          <w:p w14:paraId="29D5C8C8"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p>
        </w:tc>
        <w:tc>
          <w:tcPr>
            <w:tcW w:w="5323" w:type="dxa"/>
          </w:tcPr>
          <w:p w14:paraId="09846778" w14:textId="77777777" w:rsidR="00B853B5" w:rsidRPr="00B853B5" w:rsidRDefault="00B853B5" w:rsidP="00B853B5">
            <w:pPr>
              <w:spacing w:line="240" w:lineRule="auto"/>
              <w:rPr>
                <w:rFonts w:ascii="Garamond" w:eastAsia="Garamond" w:hAnsi="Garamond" w:cs="Garamond"/>
                <w:b/>
                <w:lang w:val="es-ES_tradnl" w:eastAsia="es-ES"/>
              </w:rPr>
            </w:pPr>
            <w:r w:rsidRPr="00B853B5">
              <w:rPr>
                <w:rFonts w:ascii="Garamond" w:eastAsia="Garamond" w:hAnsi="Garamond" w:cs="Garamond"/>
                <w:b/>
                <w:lang w:val="es-ES_tradnl" w:eastAsia="es-ES"/>
              </w:rPr>
              <w:t>TOTAL</w:t>
            </w:r>
          </w:p>
        </w:tc>
        <w:tc>
          <w:tcPr>
            <w:tcW w:w="2943" w:type="dxa"/>
          </w:tcPr>
          <w:p w14:paraId="37820CA8"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883</w:t>
            </w:r>
          </w:p>
        </w:tc>
      </w:tr>
    </w:tbl>
    <w:p w14:paraId="2A6C4494"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Asada El Carmen (8/abril/2026).</w:t>
      </w:r>
    </w:p>
    <w:p w14:paraId="168FB9A9"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22D23E58"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Asada La Amistad</w:t>
      </w:r>
    </w:p>
    <w:p w14:paraId="76AE876A"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208DD85C"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Las características principales de la población atendida por la Asada La Amistad son las siguientes: </w:t>
      </w:r>
    </w:p>
    <w:p w14:paraId="7CB1F5CB"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p>
    <w:p w14:paraId="522F6BAD" w14:textId="4F695E0C" w:rsidR="00B853B5" w:rsidRPr="00B853B5" w:rsidRDefault="00B853B5" w:rsidP="00B853B5">
      <w:pPr>
        <w:spacing w:after="0" w:line="240" w:lineRule="auto"/>
        <w:jc w:val="center"/>
        <w:rPr>
          <w:rFonts w:ascii="Garamond" w:eastAsia="Garamond" w:hAnsi="Garamond" w:cs="Garamond"/>
          <w:i/>
          <w:lang w:val="es-ES_tradnl" w:eastAsia="es-ES"/>
        </w:rPr>
      </w:pPr>
      <w:bookmarkStart w:id="50" w:name="_Toc158296331"/>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7</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Número y tipo de abonados de la Asada La Amistad</w:t>
      </w:r>
      <w:bookmarkEnd w:id="50"/>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62"/>
        <w:gridCol w:w="5323"/>
        <w:gridCol w:w="2943"/>
      </w:tblGrid>
      <w:tr w:rsidR="00B853B5" w:rsidRPr="00B853B5" w14:paraId="43AC6796" w14:textId="77777777" w:rsidTr="00EF750D">
        <w:tc>
          <w:tcPr>
            <w:tcW w:w="562" w:type="dxa"/>
            <w:tcBorders>
              <w:bottom w:val="single" w:sz="12" w:space="0" w:color="8EAADB"/>
            </w:tcBorders>
            <w:vAlign w:val="center"/>
          </w:tcPr>
          <w:p w14:paraId="00429A4D"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IT</w:t>
            </w:r>
          </w:p>
        </w:tc>
        <w:tc>
          <w:tcPr>
            <w:tcW w:w="5323" w:type="dxa"/>
            <w:tcBorders>
              <w:bottom w:val="single" w:sz="12" w:space="0" w:color="8EAADB"/>
            </w:tcBorders>
          </w:tcPr>
          <w:p w14:paraId="1626364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Tarifa</w:t>
            </w:r>
          </w:p>
        </w:tc>
        <w:tc>
          <w:tcPr>
            <w:tcW w:w="2943" w:type="dxa"/>
            <w:tcBorders>
              <w:bottom w:val="single" w:sz="12" w:space="0" w:color="8EAADB"/>
            </w:tcBorders>
          </w:tcPr>
          <w:p w14:paraId="52FCB4AE"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Cantidad</w:t>
            </w:r>
          </w:p>
        </w:tc>
      </w:tr>
      <w:tr w:rsidR="00B853B5" w:rsidRPr="00B853B5" w14:paraId="3F06CDBD" w14:textId="77777777" w:rsidTr="00EF750D">
        <w:tc>
          <w:tcPr>
            <w:tcW w:w="562" w:type="dxa"/>
            <w:vAlign w:val="center"/>
          </w:tcPr>
          <w:p w14:paraId="480EB28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w:t>
            </w:r>
          </w:p>
        </w:tc>
        <w:tc>
          <w:tcPr>
            <w:tcW w:w="5323" w:type="dxa"/>
          </w:tcPr>
          <w:p w14:paraId="76E367AA"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Residencial</w:t>
            </w:r>
          </w:p>
        </w:tc>
        <w:tc>
          <w:tcPr>
            <w:tcW w:w="2943" w:type="dxa"/>
          </w:tcPr>
          <w:p w14:paraId="0D0CCC50"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187</w:t>
            </w:r>
          </w:p>
        </w:tc>
      </w:tr>
      <w:tr w:rsidR="00B853B5" w:rsidRPr="00B853B5" w14:paraId="017A5E43" w14:textId="77777777" w:rsidTr="00EF750D">
        <w:tc>
          <w:tcPr>
            <w:tcW w:w="562" w:type="dxa"/>
            <w:vAlign w:val="center"/>
          </w:tcPr>
          <w:p w14:paraId="030F99BD"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w:t>
            </w:r>
          </w:p>
        </w:tc>
        <w:tc>
          <w:tcPr>
            <w:tcW w:w="5323" w:type="dxa"/>
          </w:tcPr>
          <w:p w14:paraId="0889A57B"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Preferencial</w:t>
            </w:r>
          </w:p>
        </w:tc>
        <w:tc>
          <w:tcPr>
            <w:tcW w:w="2943" w:type="dxa"/>
          </w:tcPr>
          <w:p w14:paraId="239E0D8B"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8</w:t>
            </w:r>
          </w:p>
        </w:tc>
      </w:tr>
      <w:tr w:rsidR="00B853B5" w:rsidRPr="00B853B5" w14:paraId="09DF2597" w14:textId="77777777" w:rsidTr="00EF750D">
        <w:tc>
          <w:tcPr>
            <w:tcW w:w="562" w:type="dxa"/>
            <w:vAlign w:val="center"/>
          </w:tcPr>
          <w:p w14:paraId="4E7EF396"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3</w:t>
            </w:r>
          </w:p>
        </w:tc>
        <w:tc>
          <w:tcPr>
            <w:tcW w:w="5323" w:type="dxa"/>
          </w:tcPr>
          <w:p w14:paraId="7753AF5F"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Comercial y servicios</w:t>
            </w:r>
          </w:p>
        </w:tc>
        <w:tc>
          <w:tcPr>
            <w:tcW w:w="2943" w:type="dxa"/>
          </w:tcPr>
          <w:p w14:paraId="607BD675"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8</w:t>
            </w:r>
          </w:p>
        </w:tc>
      </w:tr>
      <w:tr w:rsidR="00B853B5" w:rsidRPr="00B853B5" w14:paraId="3C7C025F" w14:textId="77777777" w:rsidTr="00EF750D">
        <w:trPr>
          <w:trHeight w:val="221"/>
        </w:trPr>
        <w:tc>
          <w:tcPr>
            <w:tcW w:w="562" w:type="dxa"/>
            <w:vAlign w:val="center"/>
          </w:tcPr>
          <w:p w14:paraId="50B1D896"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p>
        </w:tc>
        <w:tc>
          <w:tcPr>
            <w:tcW w:w="5323" w:type="dxa"/>
          </w:tcPr>
          <w:p w14:paraId="51CEDE50" w14:textId="77777777" w:rsidR="00B853B5" w:rsidRPr="00B853B5" w:rsidRDefault="00B853B5" w:rsidP="00B853B5">
            <w:pPr>
              <w:spacing w:line="240" w:lineRule="auto"/>
              <w:jc w:val="both"/>
              <w:rPr>
                <w:rFonts w:ascii="Garamond" w:eastAsia="Garamond" w:hAnsi="Garamond" w:cs="Garamond"/>
                <w:b/>
                <w:bCs/>
                <w:lang w:val="es-ES_tradnl" w:eastAsia="es-ES"/>
              </w:rPr>
            </w:pPr>
            <w:r w:rsidRPr="00B853B5">
              <w:rPr>
                <w:rFonts w:ascii="Garamond" w:eastAsia="Garamond" w:hAnsi="Garamond" w:cs="Garamond"/>
                <w:b/>
                <w:bCs/>
                <w:lang w:val="es-ES_tradnl" w:eastAsia="es-ES"/>
              </w:rPr>
              <w:t>TOTAL</w:t>
            </w:r>
          </w:p>
        </w:tc>
        <w:tc>
          <w:tcPr>
            <w:tcW w:w="2943" w:type="dxa"/>
          </w:tcPr>
          <w:p w14:paraId="08338B84"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203</w:t>
            </w:r>
          </w:p>
        </w:tc>
      </w:tr>
    </w:tbl>
    <w:p w14:paraId="7C73D1EC"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Asada La Amistad (8/abril/2026).</w:t>
      </w:r>
    </w:p>
    <w:p w14:paraId="02493BA8"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4E824551"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Asada Helechales-Potrero Grande</w:t>
      </w:r>
    </w:p>
    <w:p w14:paraId="76AA117C"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756DC9D0"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Las características principales de la población atendida por la Asada Helechales y Potrero Grande son las siguientes: </w:t>
      </w:r>
    </w:p>
    <w:p w14:paraId="0FE435DD"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p>
    <w:p w14:paraId="40F31828" w14:textId="4B1163F9" w:rsidR="00B853B5" w:rsidRPr="00B853B5" w:rsidRDefault="00B853B5" w:rsidP="00B853B5">
      <w:pPr>
        <w:spacing w:line="240" w:lineRule="auto"/>
        <w:ind w:left="720"/>
        <w:contextualSpacing/>
        <w:jc w:val="center"/>
        <w:rPr>
          <w:rFonts w:ascii="Garamond" w:eastAsia="Garamond" w:hAnsi="Garamond" w:cs="Garamond"/>
          <w:i/>
          <w:lang w:val="es-ES" w:eastAsia="en-US"/>
        </w:rPr>
      </w:pPr>
      <w:bookmarkStart w:id="51" w:name="_Toc158296332"/>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8</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Número y tipo de abonados de la Asada Helechales y Potrero Grande</w:t>
      </w:r>
      <w:bookmarkEnd w:id="51"/>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62"/>
        <w:gridCol w:w="5323"/>
        <w:gridCol w:w="2943"/>
      </w:tblGrid>
      <w:tr w:rsidR="00B853B5" w:rsidRPr="00B853B5" w14:paraId="526FA777" w14:textId="77777777" w:rsidTr="00EF750D">
        <w:tc>
          <w:tcPr>
            <w:tcW w:w="562" w:type="dxa"/>
            <w:tcBorders>
              <w:bottom w:val="single" w:sz="12" w:space="0" w:color="8EAADB"/>
            </w:tcBorders>
            <w:vAlign w:val="center"/>
          </w:tcPr>
          <w:p w14:paraId="48F28B33"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IT</w:t>
            </w:r>
          </w:p>
        </w:tc>
        <w:tc>
          <w:tcPr>
            <w:tcW w:w="5323" w:type="dxa"/>
            <w:tcBorders>
              <w:bottom w:val="single" w:sz="12" w:space="0" w:color="8EAADB"/>
            </w:tcBorders>
          </w:tcPr>
          <w:p w14:paraId="1BD3071C"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Tarifa</w:t>
            </w:r>
          </w:p>
        </w:tc>
        <w:tc>
          <w:tcPr>
            <w:tcW w:w="2943" w:type="dxa"/>
            <w:tcBorders>
              <w:bottom w:val="single" w:sz="12" w:space="0" w:color="8EAADB"/>
            </w:tcBorders>
          </w:tcPr>
          <w:p w14:paraId="09C48003"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Cantidad</w:t>
            </w:r>
          </w:p>
        </w:tc>
      </w:tr>
      <w:tr w:rsidR="00B853B5" w:rsidRPr="00B853B5" w14:paraId="5BA9BA81" w14:textId="77777777" w:rsidTr="00EF750D">
        <w:tc>
          <w:tcPr>
            <w:tcW w:w="562" w:type="dxa"/>
            <w:vAlign w:val="center"/>
          </w:tcPr>
          <w:p w14:paraId="207858CC"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1</w:t>
            </w:r>
          </w:p>
        </w:tc>
        <w:tc>
          <w:tcPr>
            <w:tcW w:w="5323" w:type="dxa"/>
          </w:tcPr>
          <w:p w14:paraId="43F35869"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Residencial</w:t>
            </w:r>
          </w:p>
        </w:tc>
        <w:tc>
          <w:tcPr>
            <w:tcW w:w="2943" w:type="dxa"/>
          </w:tcPr>
          <w:p w14:paraId="699386DD"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877</w:t>
            </w:r>
          </w:p>
        </w:tc>
      </w:tr>
      <w:tr w:rsidR="00B853B5" w:rsidRPr="00B853B5" w14:paraId="1690A331" w14:textId="77777777" w:rsidTr="00EF750D">
        <w:tc>
          <w:tcPr>
            <w:tcW w:w="562" w:type="dxa"/>
            <w:vAlign w:val="center"/>
          </w:tcPr>
          <w:p w14:paraId="1964C81F"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2</w:t>
            </w:r>
          </w:p>
        </w:tc>
        <w:tc>
          <w:tcPr>
            <w:tcW w:w="5323" w:type="dxa"/>
          </w:tcPr>
          <w:p w14:paraId="4A5E1E42"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Residencial pobreza extrema</w:t>
            </w:r>
          </w:p>
        </w:tc>
        <w:tc>
          <w:tcPr>
            <w:tcW w:w="2943" w:type="dxa"/>
          </w:tcPr>
          <w:p w14:paraId="17BBB161"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2</w:t>
            </w:r>
          </w:p>
        </w:tc>
      </w:tr>
      <w:tr w:rsidR="00B853B5" w:rsidRPr="00B853B5" w14:paraId="3BBB678F" w14:textId="77777777" w:rsidTr="00EF750D">
        <w:tc>
          <w:tcPr>
            <w:tcW w:w="562" w:type="dxa"/>
            <w:vAlign w:val="center"/>
          </w:tcPr>
          <w:p w14:paraId="45D1572E"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3</w:t>
            </w:r>
          </w:p>
        </w:tc>
        <w:tc>
          <w:tcPr>
            <w:tcW w:w="5323" w:type="dxa"/>
          </w:tcPr>
          <w:p w14:paraId="0B0A6B63"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Comercial y servicios</w:t>
            </w:r>
          </w:p>
        </w:tc>
        <w:tc>
          <w:tcPr>
            <w:tcW w:w="2943" w:type="dxa"/>
          </w:tcPr>
          <w:p w14:paraId="29C6691E"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36</w:t>
            </w:r>
          </w:p>
        </w:tc>
      </w:tr>
      <w:tr w:rsidR="00B853B5" w:rsidRPr="00B853B5" w14:paraId="7823FBC6" w14:textId="77777777" w:rsidTr="00EF750D">
        <w:tc>
          <w:tcPr>
            <w:tcW w:w="562" w:type="dxa"/>
            <w:vAlign w:val="center"/>
          </w:tcPr>
          <w:p w14:paraId="1F80B39D"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4</w:t>
            </w:r>
          </w:p>
        </w:tc>
        <w:tc>
          <w:tcPr>
            <w:tcW w:w="5323" w:type="dxa"/>
          </w:tcPr>
          <w:p w14:paraId="27775FA2"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Industrial</w:t>
            </w:r>
          </w:p>
        </w:tc>
        <w:tc>
          <w:tcPr>
            <w:tcW w:w="2943" w:type="dxa"/>
          </w:tcPr>
          <w:p w14:paraId="299C9C46"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1</w:t>
            </w:r>
          </w:p>
        </w:tc>
      </w:tr>
      <w:tr w:rsidR="00B853B5" w:rsidRPr="00B853B5" w14:paraId="7BE4700F" w14:textId="77777777" w:rsidTr="00EF750D">
        <w:tc>
          <w:tcPr>
            <w:tcW w:w="562" w:type="dxa"/>
            <w:vAlign w:val="center"/>
          </w:tcPr>
          <w:p w14:paraId="177ECCAC"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r w:rsidRPr="00B853B5">
              <w:rPr>
                <w:rFonts w:ascii="Garamond" w:hAnsi="Garamond" w:cs="Arial"/>
                <w:b/>
                <w:bCs/>
                <w:lang w:val="es-ES_tradnl" w:eastAsia="es-ES"/>
              </w:rPr>
              <w:t>5</w:t>
            </w:r>
          </w:p>
        </w:tc>
        <w:tc>
          <w:tcPr>
            <w:tcW w:w="5323" w:type="dxa"/>
          </w:tcPr>
          <w:p w14:paraId="767EB221"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 xml:space="preserve">Preferencial </w:t>
            </w:r>
          </w:p>
        </w:tc>
        <w:tc>
          <w:tcPr>
            <w:tcW w:w="2943" w:type="dxa"/>
          </w:tcPr>
          <w:p w14:paraId="75849F69"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9</w:t>
            </w:r>
          </w:p>
        </w:tc>
      </w:tr>
      <w:tr w:rsidR="00B853B5" w:rsidRPr="00B853B5" w14:paraId="4E24302D" w14:textId="77777777" w:rsidTr="00EF750D">
        <w:trPr>
          <w:trHeight w:val="206"/>
        </w:trPr>
        <w:tc>
          <w:tcPr>
            <w:tcW w:w="562" w:type="dxa"/>
            <w:vAlign w:val="center"/>
          </w:tcPr>
          <w:p w14:paraId="05ABE577" w14:textId="77777777" w:rsidR="00B853B5" w:rsidRPr="00B853B5" w:rsidRDefault="00B853B5" w:rsidP="00B853B5">
            <w:pPr>
              <w:spacing w:line="240" w:lineRule="auto"/>
              <w:rPr>
                <w:rFonts w:ascii="Garamond" w:eastAsia="Garamond" w:hAnsi="Garamond" w:cs="Garamond"/>
                <w:b/>
                <w:bCs/>
                <w:lang w:val="es-ES_tradnl" w:eastAsia="es-ES"/>
              </w:rPr>
            </w:pPr>
          </w:p>
        </w:tc>
        <w:tc>
          <w:tcPr>
            <w:tcW w:w="5323" w:type="dxa"/>
          </w:tcPr>
          <w:p w14:paraId="2E8EBD01" w14:textId="77777777" w:rsidR="00B853B5" w:rsidRPr="00B853B5" w:rsidRDefault="00B853B5" w:rsidP="00B853B5">
            <w:pPr>
              <w:spacing w:line="240" w:lineRule="auto"/>
              <w:rPr>
                <w:rFonts w:ascii="Garamond" w:eastAsia="Garamond" w:hAnsi="Garamond" w:cs="Garamond"/>
                <w:b/>
                <w:lang w:val="es-ES_tradnl" w:eastAsia="es-ES"/>
              </w:rPr>
            </w:pPr>
            <w:r w:rsidRPr="00B853B5">
              <w:rPr>
                <w:rFonts w:ascii="Garamond" w:eastAsia="Garamond" w:hAnsi="Garamond" w:cs="Garamond"/>
                <w:b/>
                <w:lang w:val="es-ES_tradnl" w:eastAsia="es-ES"/>
              </w:rPr>
              <w:t>TOTAL</w:t>
            </w:r>
          </w:p>
        </w:tc>
        <w:tc>
          <w:tcPr>
            <w:tcW w:w="2943" w:type="dxa"/>
          </w:tcPr>
          <w:p w14:paraId="34F5A0BD"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925</w:t>
            </w:r>
          </w:p>
        </w:tc>
      </w:tr>
    </w:tbl>
    <w:p w14:paraId="5D590D0E"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Asada Helechales y Potrero Grande (8/abril/2026).</w:t>
      </w:r>
    </w:p>
    <w:p w14:paraId="3C56C2B4"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67784D74"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Asada Concepción de Pilas</w:t>
      </w:r>
    </w:p>
    <w:p w14:paraId="0D4041B9"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7525FCDE"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Las características principales de la población atendida por la Asada Concepción de Pilas son: </w:t>
      </w:r>
    </w:p>
    <w:p w14:paraId="4D62C65C" w14:textId="77777777" w:rsidR="00B853B5" w:rsidRPr="00B853B5" w:rsidRDefault="00B853B5" w:rsidP="00B853B5">
      <w:pPr>
        <w:spacing w:line="240" w:lineRule="auto"/>
        <w:ind w:left="720"/>
        <w:contextualSpacing/>
        <w:jc w:val="both"/>
        <w:rPr>
          <w:rFonts w:ascii="Garamond" w:eastAsia="Garamond" w:hAnsi="Garamond" w:cs="Garamond"/>
          <w:i/>
          <w:lang w:val="es-ES" w:eastAsia="en-US"/>
        </w:rPr>
      </w:pPr>
      <w:bookmarkStart w:id="52" w:name="_Toc158296333"/>
    </w:p>
    <w:p w14:paraId="61609F0C" w14:textId="2B87F8BE" w:rsidR="00B853B5" w:rsidRPr="00B853B5" w:rsidRDefault="00B853B5" w:rsidP="00B853B5">
      <w:pPr>
        <w:spacing w:line="240" w:lineRule="auto"/>
        <w:ind w:left="720"/>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9</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Número y tipo de abonados de la Asada Concepción de Pilas</w:t>
      </w:r>
      <w:bookmarkEnd w:id="52"/>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562"/>
        <w:gridCol w:w="5323"/>
        <w:gridCol w:w="2943"/>
      </w:tblGrid>
      <w:tr w:rsidR="00B853B5" w:rsidRPr="00B853B5" w14:paraId="5017A74B" w14:textId="77777777" w:rsidTr="00EF750D">
        <w:tc>
          <w:tcPr>
            <w:tcW w:w="562" w:type="dxa"/>
            <w:tcBorders>
              <w:bottom w:val="single" w:sz="12" w:space="0" w:color="8EAADB"/>
            </w:tcBorders>
            <w:vAlign w:val="center"/>
          </w:tcPr>
          <w:p w14:paraId="52C27137"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IT</w:t>
            </w:r>
          </w:p>
        </w:tc>
        <w:tc>
          <w:tcPr>
            <w:tcW w:w="5323" w:type="dxa"/>
            <w:tcBorders>
              <w:bottom w:val="single" w:sz="12" w:space="0" w:color="8EAADB"/>
            </w:tcBorders>
          </w:tcPr>
          <w:p w14:paraId="087E2D5D"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Tarifa / Tipo de servicio</w:t>
            </w:r>
          </w:p>
        </w:tc>
        <w:tc>
          <w:tcPr>
            <w:tcW w:w="2943" w:type="dxa"/>
            <w:tcBorders>
              <w:bottom w:val="single" w:sz="12" w:space="0" w:color="8EAADB"/>
            </w:tcBorders>
          </w:tcPr>
          <w:p w14:paraId="6B9F0F37"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Cantidad</w:t>
            </w:r>
          </w:p>
        </w:tc>
      </w:tr>
      <w:tr w:rsidR="00B853B5" w:rsidRPr="00B853B5" w14:paraId="49B322A4" w14:textId="77777777" w:rsidTr="00EF750D">
        <w:tc>
          <w:tcPr>
            <w:tcW w:w="562" w:type="dxa"/>
            <w:vAlign w:val="center"/>
          </w:tcPr>
          <w:p w14:paraId="3679BAE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w:t>
            </w:r>
          </w:p>
        </w:tc>
        <w:tc>
          <w:tcPr>
            <w:tcW w:w="5323" w:type="dxa"/>
          </w:tcPr>
          <w:p w14:paraId="7703A414"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Residencial</w:t>
            </w:r>
          </w:p>
        </w:tc>
        <w:tc>
          <w:tcPr>
            <w:tcW w:w="2943" w:type="dxa"/>
          </w:tcPr>
          <w:p w14:paraId="61BA78A4"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242</w:t>
            </w:r>
          </w:p>
        </w:tc>
      </w:tr>
      <w:tr w:rsidR="00B853B5" w:rsidRPr="00B853B5" w14:paraId="5694C1E8" w14:textId="77777777" w:rsidTr="00EF750D">
        <w:tc>
          <w:tcPr>
            <w:tcW w:w="562" w:type="dxa"/>
            <w:vAlign w:val="center"/>
          </w:tcPr>
          <w:p w14:paraId="7844B91A"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w:t>
            </w:r>
          </w:p>
        </w:tc>
        <w:tc>
          <w:tcPr>
            <w:tcW w:w="5323" w:type="dxa"/>
          </w:tcPr>
          <w:p w14:paraId="7F7E1E3E"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Comercial y servicios</w:t>
            </w:r>
          </w:p>
        </w:tc>
        <w:tc>
          <w:tcPr>
            <w:tcW w:w="2943" w:type="dxa"/>
          </w:tcPr>
          <w:p w14:paraId="245B1DD9"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5</w:t>
            </w:r>
          </w:p>
        </w:tc>
      </w:tr>
      <w:tr w:rsidR="00B853B5" w:rsidRPr="00B853B5" w14:paraId="17F3A426" w14:textId="77777777" w:rsidTr="00EF750D">
        <w:tc>
          <w:tcPr>
            <w:tcW w:w="562" w:type="dxa"/>
            <w:vAlign w:val="center"/>
          </w:tcPr>
          <w:p w14:paraId="23DFC457"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3</w:t>
            </w:r>
          </w:p>
        </w:tc>
        <w:tc>
          <w:tcPr>
            <w:tcW w:w="5323" w:type="dxa"/>
          </w:tcPr>
          <w:p w14:paraId="5A7BF606" w14:textId="77777777" w:rsidR="00B853B5" w:rsidRPr="00B853B5" w:rsidRDefault="00B853B5" w:rsidP="00B853B5">
            <w:pPr>
              <w:spacing w:line="240" w:lineRule="auto"/>
              <w:jc w:val="both"/>
              <w:rPr>
                <w:rFonts w:ascii="Garamond" w:eastAsia="Garamond" w:hAnsi="Garamond" w:cs="Garamond"/>
                <w:bCs/>
                <w:lang w:val="es-ES_tradnl" w:eastAsia="es-ES"/>
              </w:rPr>
            </w:pPr>
            <w:r w:rsidRPr="00B853B5">
              <w:rPr>
                <w:rFonts w:ascii="Garamond" w:eastAsia="Garamond" w:hAnsi="Garamond" w:cs="Garamond"/>
                <w:bCs/>
                <w:lang w:val="es-ES_tradnl" w:eastAsia="es-ES"/>
              </w:rPr>
              <w:t>Institucional</w:t>
            </w:r>
          </w:p>
        </w:tc>
        <w:tc>
          <w:tcPr>
            <w:tcW w:w="2943" w:type="dxa"/>
          </w:tcPr>
          <w:p w14:paraId="609A3BC3" w14:textId="77777777" w:rsidR="00B853B5" w:rsidRPr="00B853B5" w:rsidRDefault="00B853B5" w:rsidP="00B853B5">
            <w:pPr>
              <w:spacing w:line="240" w:lineRule="auto"/>
              <w:jc w:val="center"/>
              <w:rPr>
                <w:rFonts w:ascii="Garamond" w:eastAsia="Garamond" w:hAnsi="Garamond" w:cs="Garamond"/>
                <w:bCs/>
                <w:lang w:val="es-ES_tradnl" w:eastAsia="es-ES"/>
              </w:rPr>
            </w:pPr>
            <w:r w:rsidRPr="00B853B5">
              <w:rPr>
                <w:rFonts w:ascii="Garamond" w:eastAsia="Garamond" w:hAnsi="Garamond" w:cs="Garamond"/>
                <w:bCs/>
                <w:lang w:val="es-ES_tradnl" w:eastAsia="es-ES"/>
              </w:rPr>
              <w:t>13</w:t>
            </w:r>
          </w:p>
        </w:tc>
      </w:tr>
      <w:tr w:rsidR="00B853B5" w:rsidRPr="00B853B5" w14:paraId="6D140D5C" w14:textId="77777777" w:rsidTr="00EF750D">
        <w:trPr>
          <w:trHeight w:val="145"/>
        </w:trPr>
        <w:tc>
          <w:tcPr>
            <w:tcW w:w="562" w:type="dxa"/>
            <w:vAlign w:val="center"/>
          </w:tcPr>
          <w:p w14:paraId="78ED0664" w14:textId="77777777" w:rsidR="00B853B5" w:rsidRPr="00B853B5" w:rsidRDefault="00B853B5" w:rsidP="00B853B5">
            <w:pPr>
              <w:tabs>
                <w:tab w:val="left" w:pos="284"/>
              </w:tabs>
              <w:spacing w:after="0" w:line="240" w:lineRule="auto"/>
              <w:jc w:val="center"/>
              <w:rPr>
                <w:rFonts w:ascii="Garamond" w:hAnsi="Garamond" w:cs="Arial"/>
                <w:b/>
                <w:bCs/>
                <w:lang w:val="es-ES_tradnl" w:eastAsia="es-ES"/>
              </w:rPr>
            </w:pPr>
          </w:p>
        </w:tc>
        <w:tc>
          <w:tcPr>
            <w:tcW w:w="5323" w:type="dxa"/>
          </w:tcPr>
          <w:p w14:paraId="381B1A32" w14:textId="77777777" w:rsidR="00B853B5" w:rsidRPr="00B853B5" w:rsidRDefault="00B853B5" w:rsidP="00B853B5">
            <w:pPr>
              <w:spacing w:line="240" w:lineRule="auto"/>
              <w:rPr>
                <w:rFonts w:ascii="Garamond" w:eastAsia="Garamond" w:hAnsi="Garamond" w:cs="Garamond"/>
                <w:b/>
                <w:lang w:val="es-ES_tradnl" w:eastAsia="es-ES"/>
              </w:rPr>
            </w:pPr>
            <w:r w:rsidRPr="00B853B5">
              <w:rPr>
                <w:rFonts w:ascii="Garamond" w:eastAsia="Garamond" w:hAnsi="Garamond" w:cs="Garamond"/>
                <w:b/>
                <w:lang w:val="es-ES_tradnl" w:eastAsia="es-ES"/>
              </w:rPr>
              <w:t>TOTAL</w:t>
            </w:r>
          </w:p>
        </w:tc>
        <w:tc>
          <w:tcPr>
            <w:tcW w:w="2943" w:type="dxa"/>
          </w:tcPr>
          <w:p w14:paraId="02C8D15A" w14:textId="77777777" w:rsidR="00B853B5" w:rsidRPr="00B853B5" w:rsidRDefault="00B853B5" w:rsidP="00B853B5">
            <w:pPr>
              <w:spacing w:line="240" w:lineRule="auto"/>
              <w:jc w:val="center"/>
              <w:rPr>
                <w:rFonts w:ascii="Garamond" w:eastAsia="Garamond" w:hAnsi="Garamond" w:cs="Garamond"/>
                <w:b/>
                <w:lang w:val="es-ES_tradnl" w:eastAsia="es-ES"/>
              </w:rPr>
            </w:pPr>
            <w:r w:rsidRPr="00B853B5">
              <w:rPr>
                <w:rFonts w:ascii="Garamond" w:eastAsia="Garamond" w:hAnsi="Garamond" w:cs="Garamond"/>
                <w:b/>
                <w:lang w:val="es-ES_tradnl" w:eastAsia="es-ES"/>
              </w:rPr>
              <w:t>260</w:t>
            </w:r>
          </w:p>
        </w:tc>
      </w:tr>
    </w:tbl>
    <w:p w14:paraId="35516DF3" w14:textId="77777777" w:rsidR="00B853B5" w:rsidRPr="00B853B5" w:rsidRDefault="00B853B5" w:rsidP="00B853B5">
      <w:pPr>
        <w:tabs>
          <w:tab w:val="left" w:pos="284"/>
        </w:tabs>
        <w:spacing w:after="0" w:line="240" w:lineRule="auto"/>
        <w:jc w:val="center"/>
        <w:rPr>
          <w:rFonts w:ascii="Garamond" w:eastAsia="Times New Roman" w:hAnsi="Garamond" w:cs="Arial"/>
          <w:i/>
          <w:lang w:val="es-ES_tradnl" w:eastAsia="es-ES"/>
        </w:rPr>
      </w:pPr>
      <w:r w:rsidRPr="00B853B5">
        <w:rPr>
          <w:rFonts w:ascii="Garamond" w:eastAsia="Garamond" w:hAnsi="Garamond" w:cs="Garamond"/>
          <w:i/>
          <w:lang w:val="es-ES_tradnl" w:eastAsia="es-ES"/>
        </w:rPr>
        <w:t>Fuente: Asada Concepción de Pilas</w:t>
      </w:r>
      <w:r w:rsidRPr="00B853B5">
        <w:rPr>
          <w:rFonts w:ascii="Garamond" w:eastAsia="Times New Roman" w:hAnsi="Garamond" w:cs="Arial"/>
          <w:i/>
          <w:lang w:val="es-ES_tradnl" w:eastAsia="es-ES"/>
        </w:rPr>
        <w:t xml:space="preserve"> (7/abril/2026).</w:t>
      </w:r>
    </w:p>
    <w:p w14:paraId="0FF3C07F"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152C8AFA"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Población total atendida por las Asadas </w:t>
      </w:r>
    </w:p>
    <w:p w14:paraId="68DC4D31" w14:textId="77777777" w:rsidR="00B853B5" w:rsidRPr="00B853B5" w:rsidRDefault="00B853B5" w:rsidP="00B853B5">
      <w:pPr>
        <w:tabs>
          <w:tab w:val="left" w:pos="284"/>
        </w:tabs>
        <w:spacing w:after="0" w:line="240" w:lineRule="auto"/>
        <w:jc w:val="both"/>
        <w:rPr>
          <w:rFonts w:ascii="Garamond" w:eastAsia="Garamond" w:hAnsi="Garamond" w:cs="Garamond"/>
          <w:b/>
          <w:lang w:val="es-ES_tradnl" w:eastAsia="es-ES"/>
        </w:rPr>
      </w:pPr>
    </w:p>
    <w:p w14:paraId="668A4FBA"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Las 27 comunidades del Cantón de Buenos Aires que impactará directamente el proyecto son: </w:t>
      </w:r>
    </w:p>
    <w:p w14:paraId="6321873B"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p>
    <w:p w14:paraId="184DDB85" w14:textId="77777777" w:rsidR="00B853B5" w:rsidRPr="00B853B5" w:rsidRDefault="00B853B5" w:rsidP="00B853B5">
      <w:pPr>
        <w:numPr>
          <w:ilvl w:val="0"/>
          <w:numId w:val="2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Distrito Volcán: El Peje, Utrapez, Los Pinos y Los Ángeles.</w:t>
      </w:r>
    </w:p>
    <w:p w14:paraId="7DEB452B" w14:textId="77777777" w:rsidR="00B853B5" w:rsidRPr="00B853B5" w:rsidRDefault="00B853B5" w:rsidP="00B853B5">
      <w:pPr>
        <w:numPr>
          <w:ilvl w:val="0"/>
          <w:numId w:val="2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Distrito Brunka: Llano Bonito, Cañas, Oasis, Rancho Coco.</w:t>
      </w:r>
    </w:p>
    <w:p w14:paraId="45C98A3E" w14:textId="77777777" w:rsidR="00B853B5" w:rsidRPr="00B853B5" w:rsidRDefault="00B853B5" w:rsidP="00B853B5">
      <w:pPr>
        <w:numPr>
          <w:ilvl w:val="0"/>
          <w:numId w:val="2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Distrito de Biolley: El Carmen, Altamira, Colorado, Naranjos Viejo, El Campo, Sábalo, Linda Vista y Bajos del Coto, Los Naranjos Nuevo, Biolley, Guayacán, La Puna.</w:t>
      </w:r>
    </w:p>
    <w:p w14:paraId="5FC93DAB" w14:textId="77777777" w:rsidR="00B853B5" w:rsidRPr="00B853B5" w:rsidRDefault="00B853B5" w:rsidP="00B853B5">
      <w:pPr>
        <w:numPr>
          <w:ilvl w:val="0"/>
          <w:numId w:val="2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Distrito de Potrero Grande: Tres Colinas, Los Ángeles, Pueblo Nuevo, El Trébol, Potrero Centro.</w:t>
      </w:r>
    </w:p>
    <w:p w14:paraId="464FBE75" w14:textId="77777777" w:rsidR="00B853B5" w:rsidRPr="00B853B5" w:rsidRDefault="00B853B5" w:rsidP="00B853B5">
      <w:pPr>
        <w:numPr>
          <w:ilvl w:val="0"/>
          <w:numId w:val="2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Distrito de Pilas: Concepción, San Vicente, Las Delicias de Pejibaye de Pérez Zeledón.</w:t>
      </w:r>
    </w:p>
    <w:p w14:paraId="7C4A7993"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desglosa el total de la población atendida por las Asadas y que se serán beneficiadas con este proyecto. </w:t>
      </w:r>
    </w:p>
    <w:p w14:paraId="5026EBE5" w14:textId="77777777" w:rsidR="00B853B5" w:rsidRPr="00B853B5" w:rsidRDefault="00B853B5" w:rsidP="00B853B5">
      <w:pPr>
        <w:tabs>
          <w:tab w:val="left" w:pos="284"/>
        </w:tabs>
        <w:spacing w:after="0" w:line="240" w:lineRule="auto"/>
        <w:jc w:val="both"/>
        <w:rPr>
          <w:rFonts w:ascii="Garamond" w:eastAsia="Garamond" w:hAnsi="Garamond" w:cs="Garamond"/>
          <w:lang w:val="es-ES_tradnl" w:eastAsia="es-ES"/>
        </w:rPr>
      </w:pPr>
    </w:p>
    <w:p w14:paraId="003494D3" w14:textId="22E1F493" w:rsidR="00B853B5" w:rsidRPr="00B853B5" w:rsidRDefault="00B853B5" w:rsidP="00B853B5">
      <w:pPr>
        <w:tabs>
          <w:tab w:val="left" w:pos="284"/>
        </w:tabs>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10</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Total de usuarios del Proyecto.</w:t>
      </w:r>
    </w:p>
    <w:tbl>
      <w:tblPr>
        <w:tblW w:w="0" w:type="auto"/>
        <w:jc w:val="cente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724"/>
        <w:gridCol w:w="2157"/>
      </w:tblGrid>
      <w:tr w:rsidR="00B853B5" w:rsidRPr="00B853B5" w14:paraId="628F596A" w14:textId="77777777" w:rsidTr="00EF750D">
        <w:trPr>
          <w:jc w:val="center"/>
        </w:trPr>
        <w:tc>
          <w:tcPr>
            <w:tcW w:w="3724" w:type="dxa"/>
            <w:tcBorders>
              <w:bottom w:val="single" w:sz="12" w:space="0" w:color="9CC2E5"/>
            </w:tcBorders>
            <w:vAlign w:val="center"/>
          </w:tcPr>
          <w:p w14:paraId="7C3E13F4" w14:textId="77777777" w:rsidR="00B853B5" w:rsidRPr="00B853B5" w:rsidRDefault="00B853B5" w:rsidP="00B853B5">
            <w:pPr>
              <w:tabs>
                <w:tab w:val="left" w:pos="284"/>
              </w:tabs>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Nombre de la ASADA</w:t>
            </w:r>
          </w:p>
        </w:tc>
        <w:tc>
          <w:tcPr>
            <w:tcW w:w="2157" w:type="dxa"/>
            <w:tcBorders>
              <w:bottom w:val="single" w:sz="12" w:space="0" w:color="9CC2E5"/>
            </w:tcBorders>
            <w:vAlign w:val="center"/>
          </w:tcPr>
          <w:p w14:paraId="74906569" w14:textId="77777777" w:rsidR="00B853B5" w:rsidRPr="00B853B5" w:rsidRDefault="00B853B5" w:rsidP="00B853B5">
            <w:pPr>
              <w:tabs>
                <w:tab w:val="left" w:pos="284"/>
              </w:tabs>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Total de usuarios</w:t>
            </w:r>
          </w:p>
        </w:tc>
      </w:tr>
      <w:tr w:rsidR="00B853B5" w:rsidRPr="00B853B5" w14:paraId="1DBDFA4C" w14:textId="77777777" w:rsidTr="00EF750D">
        <w:trPr>
          <w:jc w:val="center"/>
        </w:trPr>
        <w:tc>
          <w:tcPr>
            <w:tcW w:w="3724" w:type="dxa"/>
            <w:vAlign w:val="center"/>
          </w:tcPr>
          <w:p w14:paraId="3066237B" w14:textId="77777777" w:rsidR="00B853B5" w:rsidRPr="00B853B5" w:rsidRDefault="00B853B5" w:rsidP="00B853B5">
            <w:pPr>
              <w:tabs>
                <w:tab w:val="left" w:pos="284"/>
              </w:tabs>
              <w:spacing w:line="240" w:lineRule="auto"/>
              <w:jc w:val="both"/>
              <w:rPr>
                <w:rFonts w:ascii="Garamond" w:hAnsi="Garamond" w:cs="Arial"/>
                <w:b/>
                <w:bCs/>
                <w:lang w:val="es-ES_tradnl" w:eastAsia="es-ES"/>
              </w:rPr>
            </w:pPr>
            <w:r w:rsidRPr="00B853B5">
              <w:rPr>
                <w:rFonts w:ascii="Garamond" w:eastAsia="Garamond" w:hAnsi="Garamond" w:cs="Garamond"/>
                <w:b/>
                <w:bCs/>
                <w:lang w:val="es-ES_tradnl" w:eastAsia="es-ES"/>
              </w:rPr>
              <w:t>Asada Volcán</w:t>
            </w:r>
          </w:p>
        </w:tc>
        <w:tc>
          <w:tcPr>
            <w:tcW w:w="2157" w:type="dxa"/>
            <w:vAlign w:val="center"/>
          </w:tcPr>
          <w:p w14:paraId="596BF5B5" w14:textId="77777777" w:rsidR="00B853B5" w:rsidRPr="00B853B5" w:rsidRDefault="00B853B5" w:rsidP="00B853B5">
            <w:pPr>
              <w:tabs>
                <w:tab w:val="left" w:pos="284"/>
              </w:tabs>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1256</w:t>
            </w:r>
          </w:p>
        </w:tc>
      </w:tr>
      <w:tr w:rsidR="00B853B5" w:rsidRPr="00B853B5" w14:paraId="74C09FC1" w14:textId="77777777" w:rsidTr="00EF750D">
        <w:trPr>
          <w:jc w:val="center"/>
        </w:trPr>
        <w:tc>
          <w:tcPr>
            <w:tcW w:w="3724" w:type="dxa"/>
            <w:vAlign w:val="center"/>
          </w:tcPr>
          <w:p w14:paraId="1C37EB69" w14:textId="77777777" w:rsidR="00B853B5" w:rsidRPr="00B853B5" w:rsidRDefault="00B853B5" w:rsidP="00B853B5">
            <w:pPr>
              <w:tabs>
                <w:tab w:val="left" w:pos="284"/>
              </w:tabs>
              <w:spacing w:line="240" w:lineRule="auto"/>
              <w:jc w:val="both"/>
              <w:rPr>
                <w:rFonts w:ascii="Garamond" w:eastAsia="Garamond" w:hAnsi="Garamond" w:cs="Garamond"/>
                <w:b/>
                <w:bCs/>
                <w:lang w:val="es-ES_tradnl" w:eastAsia="es-ES"/>
              </w:rPr>
            </w:pPr>
            <w:r w:rsidRPr="00B853B5">
              <w:rPr>
                <w:rFonts w:ascii="Garamond" w:eastAsia="Garamond" w:hAnsi="Garamond" w:cs="Garamond"/>
                <w:b/>
                <w:bCs/>
                <w:lang w:val="es-ES_tradnl" w:eastAsia="es-ES"/>
              </w:rPr>
              <w:t>Asada El Carmen</w:t>
            </w:r>
          </w:p>
        </w:tc>
        <w:tc>
          <w:tcPr>
            <w:tcW w:w="2157" w:type="dxa"/>
            <w:vAlign w:val="center"/>
          </w:tcPr>
          <w:p w14:paraId="284EDEA8" w14:textId="77777777" w:rsidR="00B853B5" w:rsidRPr="00B853B5" w:rsidRDefault="00B853B5" w:rsidP="00B853B5">
            <w:pPr>
              <w:tabs>
                <w:tab w:val="left" w:pos="284"/>
              </w:tabs>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883</w:t>
            </w:r>
          </w:p>
        </w:tc>
      </w:tr>
      <w:tr w:rsidR="00B853B5" w:rsidRPr="00B853B5" w14:paraId="53A3E057" w14:textId="77777777" w:rsidTr="00EF750D">
        <w:trPr>
          <w:jc w:val="center"/>
        </w:trPr>
        <w:tc>
          <w:tcPr>
            <w:tcW w:w="3724" w:type="dxa"/>
            <w:vAlign w:val="center"/>
          </w:tcPr>
          <w:p w14:paraId="1CBDAF51" w14:textId="77777777" w:rsidR="00B853B5" w:rsidRPr="00B853B5" w:rsidRDefault="00B853B5" w:rsidP="00B853B5">
            <w:pPr>
              <w:tabs>
                <w:tab w:val="left" w:pos="284"/>
              </w:tabs>
              <w:spacing w:line="240" w:lineRule="auto"/>
              <w:jc w:val="both"/>
              <w:rPr>
                <w:rFonts w:ascii="Garamond" w:eastAsia="Garamond" w:hAnsi="Garamond" w:cs="Garamond"/>
                <w:b/>
                <w:bCs/>
                <w:lang w:val="es-ES_tradnl" w:eastAsia="es-ES"/>
              </w:rPr>
            </w:pPr>
            <w:r w:rsidRPr="00B853B5">
              <w:rPr>
                <w:rFonts w:ascii="Garamond" w:eastAsia="Garamond" w:hAnsi="Garamond" w:cs="Garamond"/>
                <w:b/>
                <w:bCs/>
                <w:lang w:val="es-ES_tradnl" w:eastAsia="es-ES"/>
              </w:rPr>
              <w:t>Asada La Amistad</w:t>
            </w:r>
          </w:p>
        </w:tc>
        <w:tc>
          <w:tcPr>
            <w:tcW w:w="2157" w:type="dxa"/>
            <w:vAlign w:val="center"/>
          </w:tcPr>
          <w:p w14:paraId="33FB882C" w14:textId="77777777" w:rsidR="00B853B5" w:rsidRPr="00B853B5" w:rsidRDefault="00B853B5" w:rsidP="00B853B5">
            <w:pPr>
              <w:tabs>
                <w:tab w:val="left" w:pos="284"/>
              </w:tabs>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203</w:t>
            </w:r>
          </w:p>
        </w:tc>
      </w:tr>
      <w:tr w:rsidR="00B853B5" w:rsidRPr="00B853B5" w14:paraId="0665965E" w14:textId="77777777" w:rsidTr="00EF750D">
        <w:trPr>
          <w:jc w:val="center"/>
        </w:trPr>
        <w:tc>
          <w:tcPr>
            <w:tcW w:w="3724" w:type="dxa"/>
            <w:vAlign w:val="center"/>
          </w:tcPr>
          <w:p w14:paraId="50E25A12" w14:textId="77777777" w:rsidR="00B853B5" w:rsidRPr="00B853B5" w:rsidRDefault="00B853B5" w:rsidP="00B853B5">
            <w:pPr>
              <w:tabs>
                <w:tab w:val="left" w:pos="284"/>
              </w:tabs>
              <w:spacing w:line="240" w:lineRule="auto"/>
              <w:jc w:val="both"/>
              <w:rPr>
                <w:rFonts w:ascii="Garamond" w:eastAsia="Garamond" w:hAnsi="Garamond" w:cs="Garamond"/>
                <w:b/>
                <w:bCs/>
                <w:lang w:val="es-ES_tradnl" w:eastAsia="es-ES"/>
              </w:rPr>
            </w:pPr>
            <w:r w:rsidRPr="00B853B5">
              <w:rPr>
                <w:rFonts w:ascii="Garamond" w:eastAsia="Garamond" w:hAnsi="Garamond" w:cs="Garamond"/>
                <w:b/>
                <w:bCs/>
                <w:lang w:val="es-ES_tradnl" w:eastAsia="es-ES"/>
              </w:rPr>
              <w:t>Asada Helechales y Potrero Grande</w:t>
            </w:r>
          </w:p>
        </w:tc>
        <w:tc>
          <w:tcPr>
            <w:tcW w:w="2157" w:type="dxa"/>
            <w:vAlign w:val="center"/>
          </w:tcPr>
          <w:p w14:paraId="16A65708" w14:textId="77777777" w:rsidR="00B853B5" w:rsidRPr="00B853B5" w:rsidRDefault="00B853B5" w:rsidP="00B853B5">
            <w:pPr>
              <w:tabs>
                <w:tab w:val="left" w:pos="284"/>
              </w:tabs>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925</w:t>
            </w:r>
          </w:p>
        </w:tc>
      </w:tr>
      <w:tr w:rsidR="00B853B5" w:rsidRPr="00B853B5" w14:paraId="1A7B0B4B" w14:textId="77777777" w:rsidTr="00EF750D">
        <w:trPr>
          <w:jc w:val="center"/>
        </w:trPr>
        <w:tc>
          <w:tcPr>
            <w:tcW w:w="3724" w:type="dxa"/>
            <w:vAlign w:val="center"/>
          </w:tcPr>
          <w:p w14:paraId="02463A11" w14:textId="77777777" w:rsidR="00B853B5" w:rsidRPr="00B853B5" w:rsidRDefault="00B853B5" w:rsidP="00B853B5">
            <w:pPr>
              <w:tabs>
                <w:tab w:val="left" w:pos="284"/>
              </w:tabs>
              <w:spacing w:line="240" w:lineRule="auto"/>
              <w:jc w:val="both"/>
              <w:rPr>
                <w:rFonts w:ascii="Garamond" w:eastAsia="Garamond" w:hAnsi="Garamond" w:cs="Garamond"/>
                <w:b/>
                <w:bCs/>
                <w:lang w:val="es-ES_tradnl" w:eastAsia="es-ES"/>
              </w:rPr>
            </w:pPr>
            <w:r w:rsidRPr="00B853B5">
              <w:rPr>
                <w:rFonts w:ascii="Garamond" w:eastAsia="Garamond" w:hAnsi="Garamond" w:cs="Garamond"/>
                <w:b/>
                <w:bCs/>
                <w:lang w:val="es-ES_tradnl" w:eastAsia="es-ES"/>
              </w:rPr>
              <w:t>Asada Concepción de Pilas</w:t>
            </w:r>
          </w:p>
        </w:tc>
        <w:tc>
          <w:tcPr>
            <w:tcW w:w="2157" w:type="dxa"/>
            <w:vAlign w:val="center"/>
          </w:tcPr>
          <w:p w14:paraId="5B2E4E34" w14:textId="77777777" w:rsidR="00B853B5" w:rsidRPr="00B853B5" w:rsidRDefault="00B853B5" w:rsidP="00B853B5">
            <w:pPr>
              <w:tabs>
                <w:tab w:val="left" w:pos="284"/>
              </w:tabs>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260</w:t>
            </w:r>
          </w:p>
        </w:tc>
      </w:tr>
      <w:tr w:rsidR="00B853B5" w:rsidRPr="00B853B5" w14:paraId="71E97292" w14:textId="77777777" w:rsidTr="00EF750D">
        <w:trPr>
          <w:jc w:val="center"/>
        </w:trPr>
        <w:tc>
          <w:tcPr>
            <w:tcW w:w="3724" w:type="dxa"/>
            <w:vAlign w:val="center"/>
          </w:tcPr>
          <w:p w14:paraId="7D6D0406" w14:textId="77777777" w:rsidR="00B853B5" w:rsidRPr="00B853B5" w:rsidRDefault="00B853B5" w:rsidP="00B853B5">
            <w:pPr>
              <w:tabs>
                <w:tab w:val="left" w:pos="284"/>
              </w:tabs>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TOTAL</w:t>
            </w:r>
          </w:p>
        </w:tc>
        <w:tc>
          <w:tcPr>
            <w:tcW w:w="2157" w:type="dxa"/>
            <w:vAlign w:val="center"/>
          </w:tcPr>
          <w:p w14:paraId="5A405AD5" w14:textId="77777777" w:rsidR="00B853B5" w:rsidRPr="00B853B5" w:rsidRDefault="00B853B5" w:rsidP="00B853B5">
            <w:pPr>
              <w:tabs>
                <w:tab w:val="left" w:pos="284"/>
              </w:tabs>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3527</w:t>
            </w:r>
          </w:p>
        </w:tc>
      </w:tr>
    </w:tbl>
    <w:p w14:paraId="23DD3909" w14:textId="77777777" w:rsidR="00B853B5" w:rsidRPr="00B853B5" w:rsidRDefault="00B853B5" w:rsidP="00B853B5">
      <w:pPr>
        <w:tabs>
          <w:tab w:val="left" w:pos="284"/>
        </w:tabs>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Asadas (21/abril/2026).</w:t>
      </w:r>
    </w:p>
    <w:p w14:paraId="78E1DA9E" w14:textId="5314321E" w:rsidR="00B853B5" w:rsidRDefault="00B853B5" w:rsidP="00B853B5">
      <w:pPr>
        <w:tabs>
          <w:tab w:val="left" w:pos="284"/>
        </w:tabs>
        <w:spacing w:after="0" w:line="240" w:lineRule="auto"/>
        <w:jc w:val="center"/>
        <w:rPr>
          <w:rFonts w:ascii="Garamond" w:eastAsia="Garamond" w:hAnsi="Garamond" w:cs="Garamond"/>
          <w:i/>
          <w:lang w:val="es-ES_tradnl" w:eastAsia="es-ES"/>
        </w:rPr>
      </w:pPr>
    </w:p>
    <w:p w14:paraId="48D383DC" w14:textId="75767C64" w:rsidR="00196828" w:rsidRDefault="00196828" w:rsidP="00B853B5">
      <w:pPr>
        <w:tabs>
          <w:tab w:val="left" w:pos="284"/>
        </w:tabs>
        <w:spacing w:after="0" w:line="240" w:lineRule="auto"/>
        <w:jc w:val="center"/>
        <w:rPr>
          <w:rFonts w:ascii="Garamond" w:eastAsia="Garamond" w:hAnsi="Garamond" w:cs="Garamond"/>
          <w:i/>
          <w:lang w:val="es-ES_tradnl" w:eastAsia="es-ES"/>
        </w:rPr>
      </w:pPr>
    </w:p>
    <w:p w14:paraId="5D8EF0A0" w14:textId="4FB22455" w:rsidR="00196828" w:rsidRDefault="00196828" w:rsidP="00B853B5">
      <w:pPr>
        <w:tabs>
          <w:tab w:val="left" w:pos="284"/>
        </w:tabs>
        <w:spacing w:after="0" w:line="240" w:lineRule="auto"/>
        <w:jc w:val="center"/>
        <w:rPr>
          <w:rFonts w:ascii="Garamond" w:eastAsia="Garamond" w:hAnsi="Garamond" w:cs="Garamond"/>
          <w:i/>
          <w:lang w:val="es-ES_tradnl" w:eastAsia="es-ES"/>
        </w:rPr>
      </w:pPr>
    </w:p>
    <w:p w14:paraId="0028B48A" w14:textId="77777777" w:rsidR="00196828" w:rsidRPr="00B853B5" w:rsidRDefault="00196828" w:rsidP="00B853B5">
      <w:pPr>
        <w:tabs>
          <w:tab w:val="left" w:pos="284"/>
        </w:tabs>
        <w:spacing w:after="0" w:line="240" w:lineRule="auto"/>
        <w:jc w:val="center"/>
        <w:rPr>
          <w:rFonts w:ascii="Garamond" w:eastAsia="Garamond" w:hAnsi="Garamond" w:cs="Garamond"/>
          <w:i/>
          <w:lang w:val="es-ES_tradnl" w:eastAsia="es-ES"/>
        </w:rPr>
      </w:pPr>
    </w:p>
    <w:p w14:paraId="0B8CE320"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36F202B1"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lastRenderedPageBreak/>
        <w:t>Consideraciones para la proyección futura</w:t>
      </w:r>
    </w:p>
    <w:p w14:paraId="7D5DFF6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A1B76EC"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La demanda puede verse afectada por cambios en el comportamiento de la población usuaria o beneficiaria, relacionados con los patrones de consumo debido a las variaciones en algunos parámetros de las variables asociadas al cambio climático. </w:t>
      </w:r>
    </w:p>
    <w:p w14:paraId="2AADFC4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FB2E5C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Los cambios en los patrones pueden ser crecientes y acumulativos como consecuencia de las perturbaciones que pueden provocar eventuales sequías y olas de calor o frío con una mayor recurrencia, intensidad y duración. Por ello, es necesario trabajar con escenarios climáticos futuros que se encuentren disponibles y a partir de estos supuestos estimar el comportamiento que la demanda podría tener, tal como el aumento en el consumo de agua potable.</w:t>
      </w:r>
    </w:p>
    <w:p w14:paraId="3D26354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7DD59B02"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Además, es importante considerar posibles efectos en el comportamiento de las personas usuarias si tienen la percepción de la existencia de riesgos sobre el servicio que se demanda. Esto tiene que verse en un contexto en que la insatisfacción de la demanda puede modificarse con la inclusión de oportunas y bien dimensionadas medidas de reducción del riesgo. Por lo tanto, la proyección de la demanda debe considerar estos aspectos y trabajar con escenarios de inclusión de medidas. </w:t>
      </w:r>
    </w:p>
    <w:p w14:paraId="06A895D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0C89F5C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Para los efectos de cálculos de dotación y los factores de variación, se debe considerar la fórmula de cálculo establecida en la Norma Técnica para Diseño y construcción de sistemas de abastecimiento de agua potable, de saneamiento y pluvial, Memorando PRE-DNC-2017-00057, aprobada según acuerdo No. 2017-281 de la Sesión Ordinaria No. 2017-77 de la Junta Directiva del AyA.</w:t>
      </w:r>
    </w:p>
    <w:p w14:paraId="23A5EF57" w14:textId="77777777" w:rsidR="00B853B5" w:rsidRPr="00B853B5" w:rsidRDefault="00B853B5" w:rsidP="00B853B5">
      <w:pPr>
        <w:spacing w:after="200" w:line="240" w:lineRule="auto"/>
        <w:contextualSpacing/>
        <w:jc w:val="both"/>
        <w:rPr>
          <w:rFonts w:ascii="Garamond" w:eastAsia="Garamond" w:hAnsi="Garamond" w:cs="Garamond"/>
          <w:color w:val="FF0000"/>
          <w:lang w:val="es-ES" w:eastAsia="en-US"/>
        </w:rPr>
      </w:pPr>
    </w:p>
    <w:p w14:paraId="2FDBAA9B"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92CD986"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DEFINICIÓN DEL ÁREA DE ESTUDIO</w:t>
      </w:r>
    </w:p>
    <w:p w14:paraId="68A19BA8" w14:textId="77777777" w:rsidR="00B853B5" w:rsidRPr="00B853B5" w:rsidRDefault="00B853B5" w:rsidP="00B853B5">
      <w:pPr>
        <w:tabs>
          <w:tab w:val="left" w:pos="426"/>
        </w:tabs>
        <w:spacing w:before="120" w:after="0" w:line="240" w:lineRule="auto"/>
        <w:jc w:val="both"/>
        <w:rPr>
          <w:rFonts w:ascii="Garamond" w:eastAsia="Times New Roman" w:hAnsi="Garamond" w:cs="Arial"/>
          <w:b/>
          <w:highlight w:val="yellow"/>
          <w:lang w:val="es-ES_tradnl" w:eastAsia="es-ES"/>
        </w:rPr>
      </w:pPr>
    </w:p>
    <w:p w14:paraId="1ADD5BCB"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53" w:name="_Ref155600696"/>
      <w:bookmarkStart w:id="54" w:name="_Toc158296399"/>
      <w:r w:rsidRPr="00B853B5">
        <w:rPr>
          <w:rFonts w:ascii="Garamond" w:eastAsia="Garamond" w:hAnsi="Garamond" w:cs="Garamond"/>
          <w:b/>
          <w:lang w:val="es-ES" w:eastAsia="en-US"/>
        </w:rPr>
        <w:t>Área de análisis de impactos</w:t>
      </w:r>
      <w:bookmarkEnd w:id="53"/>
      <w:bookmarkEnd w:id="54"/>
    </w:p>
    <w:p w14:paraId="3917337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A1E495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 el área geográfica que será servida por el proyecto identificada según el análisis de los siguientes efectos:</w:t>
      </w:r>
    </w:p>
    <w:p w14:paraId="06EFE0F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3B9698E8" w14:textId="77777777" w:rsidR="00B853B5" w:rsidRPr="00B853B5" w:rsidRDefault="00B853B5" w:rsidP="00B853B5">
      <w:pPr>
        <w:numPr>
          <w:ilvl w:val="2"/>
          <w:numId w:val="18"/>
        </w:numPr>
        <w:tabs>
          <w:tab w:val="left" w:pos="426"/>
        </w:tabs>
        <w:spacing w:before="120" w:after="0" w:line="240" w:lineRule="auto"/>
        <w:jc w:val="both"/>
        <w:rPr>
          <w:rFonts w:ascii="Garamond" w:eastAsia="Garamond" w:hAnsi="Garamond" w:cs="Garamond"/>
          <w:b/>
          <w:lang w:val="es-ES" w:eastAsia="en-US"/>
        </w:rPr>
      </w:pPr>
      <w:bookmarkStart w:id="55" w:name="_Toc158296400"/>
      <w:r w:rsidRPr="00B853B5">
        <w:rPr>
          <w:rFonts w:ascii="Garamond" w:eastAsia="Garamond" w:hAnsi="Garamond" w:cs="Garamond"/>
          <w:b/>
          <w:lang w:val="es-ES" w:eastAsia="en-US"/>
        </w:rPr>
        <w:t>Efectos directos</w:t>
      </w:r>
      <w:bookmarkEnd w:id="55"/>
    </w:p>
    <w:p w14:paraId="1B74DE11" w14:textId="77777777" w:rsidR="00B853B5" w:rsidRPr="00B853B5" w:rsidRDefault="00B853B5" w:rsidP="00B853B5">
      <w:pPr>
        <w:spacing w:after="200" w:line="240" w:lineRule="auto"/>
        <w:contextualSpacing/>
        <w:rPr>
          <w:rFonts w:ascii="Garamond" w:hAnsi="Garamond" w:cs="Arial"/>
          <w:lang w:val="es-ES" w:eastAsia="en-US"/>
        </w:rPr>
      </w:pPr>
    </w:p>
    <w:p w14:paraId="6D77E73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consideran los límites dentro de los cuales el proyecto constituye una solución real al problema detectado. Se ha considerado las siguientes variables: ubicación de la población a beneficiar por el proyecto, condiciones de accesibilidad de la zona, condiciones socioeconómicas de la población, características administrativas e infraestructura existente. </w:t>
      </w:r>
    </w:p>
    <w:p w14:paraId="2BEE66A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73E3D7C5"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bookmarkStart w:id="56" w:name="_Toc116647321"/>
      <w:r w:rsidRPr="00B853B5">
        <w:rPr>
          <w:rFonts w:ascii="Garamond" w:eastAsia="Garamond" w:hAnsi="Garamond" w:cs="Garamond"/>
          <w:b/>
          <w:lang w:val="es-ES" w:eastAsia="en-US"/>
        </w:rPr>
        <w:t>Asada Volcán</w:t>
      </w:r>
      <w:bookmarkEnd w:id="56"/>
    </w:p>
    <w:p w14:paraId="06D9A3FF"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667511D3"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Ubicación de la población a beneficiar: </w:t>
      </w:r>
    </w:p>
    <w:p w14:paraId="3439C197"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26C493F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Hoja Buenos Aires # 3543-1V, distrito de Volcán y Brunka, con una longitud entre conducción y distribución de 76 kilómetros aproximadamente, integra las comunidades de Volcán, El Peje, Ultrapez, Los Ángeles, Los Pinos, en distrito de Volcán y Llano Bonito, Cañas, Oasis y Rancho El Coco, del distrito de Brunka. </w:t>
      </w:r>
    </w:p>
    <w:p w14:paraId="5E6C9FC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083B631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área de cobertura reúne comunidades ubicadas en las elevaciones entre los 350 y 600 m.s.n.m, aproximadamente. </w:t>
      </w:r>
    </w:p>
    <w:p w14:paraId="695597F0" w14:textId="77777777" w:rsidR="00B853B5" w:rsidRPr="00B853B5" w:rsidRDefault="00B853B5" w:rsidP="00B853B5">
      <w:pPr>
        <w:spacing w:after="200" w:line="240" w:lineRule="auto"/>
        <w:contextualSpacing/>
        <w:rPr>
          <w:rFonts w:ascii="Garamond" w:eastAsia="Garamond" w:hAnsi="Garamond" w:cs="Garamond"/>
          <w:i/>
          <w:lang w:val="es-ES" w:eastAsia="en-US"/>
        </w:rPr>
      </w:pPr>
    </w:p>
    <w:p w14:paraId="13B2B492" w14:textId="77777777" w:rsidR="00B853B5" w:rsidRPr="00B853B5" w:rsidRDefault="00B853B5" w:rsidP="00B853B5">
      <w:pPr>
        <w:spacing w:after="200" w:line="240" w:lineRule="auto"/>
        <w:contextualSpacing/>
        <w:rPr>
          <w:rFonts w:ascii="Garamond" w:eastAsia="Garamond" w:hAnsi="Garamond" w:cs="Garamond"/>
          <w:lang w:val="pt-BR" w:eastAsia="en-US"/>
        </w:rPr>
      </w:pPr>
      <w:r w:rsidRPr="00B853B5">
        <w:rPr>
          <w:rFonts w:ascii="Garamond" w:eastAsia="Garamond" w:hAnsi="Garamond" w:cs="Garamond"/>
          <w:lang w:val="pt-BR" w:eastAsia="en-US"/>
        </w:rPr>
        <w:t>Coordenadas: 9°12'26"N 83°26'50"W</w:t>
      </w:r>
    </w:p>
    <w:p w14:paraId="49C60B79" w14:textId="77777777" w:rsidR="00B853B5" w:rsidRPr="00B853B5" w:rsidRDefault="00B853B5" w:rsidP="00B853B5">
      <w:pPr>
        <w:spacing w:after="200" w:line="240" w:lineRule="auto"/>
        <w:contextualSpacing/>
        <w:rPr>
          <w:rFonts w:ascii="Garamond" w:eastAsia="Garamond" w:hAnsi="Garamond" w:cs="Garamond"/>
          <w:lang w:val="pt-BR" w:eastAsia="en-US"/>
        </w:rPr>
      </w:pPr>
    </w:p>
    <w:p w14:paraId="4DB2F0E8" w14:textId="31F91052"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57" w:name="_Toc158296355"/>
      <w:r w:rsidRPr="00B853B5">
        <w:rPr>
          <w:rFonts w:ascii="Garamond" w:eastAsia="Garamond" w:hAnsi="Garamond" w:cs="Garamond"/>
          <w:i/>
          <w:lang w:val="pt-BR" w:eastAsia="en-US"/>
        </w:rPr>
        <w:t xml:space="preserve">Imagen </w:t>
      </w:r>
      <w:r w:rsidRPr="00B853B5">
        <w:rPr>
          <w:rFonts w:ascii="Garamond" w:eastAsia="Garamond" w:hAnsi="Garamond" w:cs="Garamond"/>
          <w:i/>
          <w:lang w:val="es-ES" w:eastAsia="en-US"/>
        </w:rPr>
        <w:fldChar w:fldCharType="begin"/>
      </w:r>
      <w:r w:rsidRPr="00B853B5">
        <w:rPr>
          <w:rFonts w:ascii="Garamond" w:eastAsia="Garamond" w:hAnsi="Garamond" w:cs="Garamond"/>
          <w:i/>
          <w:lang w:val="pt-BR" w:eastAsia="en-US"/>
        </w:rPr>
        <w:instrText xml:space="preserve"> SEQ Imagen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pt-BR" w:eastAsia="en-US"/>
        </w:rPr>
        <w:t>6</w:t>
      </w:r>
      <w:r w:rsidRPr="00B853B5">
        <w:rPr>
          <w:rFonts w:ascii="Garamond" w:eastAsia="Garamond" w:hAnsi="Garamond" w:cs="Garamond"/>
          <w:i/>
          <w:lang w:val="es-ES" w:eastAsia="en-US"/>
        </w:rPr>
        <w:fldChar w:fldCharType="end"/>
      </w:r>
      <w:r w:rsidRPr="00B853B5">
        <w:rPr>
          <w:rFonts w:ascii="Garamond" w:eastAsia="Garamond" w:hAnsi="Garamond" w:cs="Garamond"/>
          <w:i/>
          <w:lang w:val="pt-BR" w:eastAsia="en-US"/>
        </w:rPr>
        <w:t xml:space="preserve">. </w:t>
      </w:r>
      <w:r w:rsidRPr="00B853B5">
        <w:rPr>
          <w:rFonts w:ascii="Garamond" w:eastAsia="Garamond" w:hAnsi="Garamond" w:cs="Garamond"/>
          <w:i/>
          <w:lang w:val="es-ES" w:eastAsia="en-US"/>
        </w:rPr>
        <w:t>Ubicación geográfica de la Asada Volcán</w:t>
      </w:r>
      <w:bookmarkEnd w:id="57"/>
    </w:p>
    <w:p w14:paraId="64D0C6DA" w14:textId="7CBD677B" w:rsidR="00B853B5" w:rsidRPr="00B853B5" w:rsidRDefault="00B853B5" w:rsidP="00B853B5">
      <w:pPr>
        <w:tabs>
          <w:tab w:val="left" w:pos="284"/>
        </w:tabs>
        <w:spacing w:after="0" w:line="240" w:lineRule="auto"/>
        <w:jc w:val="center"/>
        <w:rPr>
          <w:rFonts w:ascii="Garamond" w:eastAsia="Times New Roman" w:hAnsi="Garamond" w:cs="Arial"/>
          <w:highlight w:val="cyan"/>
          <w:lang w:val="es-ES_tradnl" w:eastAsia="es-ES"/>
        </w:rPr>
      </w:pPr>
      <w:r w:rsidRPr="00B853B5">
        <w:rPr>
          <w:rFonts w:ascii="Garamond" w:eastAsia="Times New Roman" w:hAnsi="Garamond" w:cs="Times New Roman"/>
          <w:noProof/>
        </w:rPr>
        <w:drawing>
          <wp:inline distT="0" distB="0" distL="0" distR="0" wp14:anchorId="7D471403" wp14:editId="6CAE7B4F">
            <wp:extent cx="2675255" cy="3207385"/>
            <wp:effectExtent l="0" t="0" r="0" b="0"/>
            <wp:docPr id="175397211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75255" cy="3207385"/>
                    </a:xfrm>
                    <a:prstGeom prst="rect">
                      <a:avLst/>
                    </a:prstGeom>
                    <a:noFill/>
                    <a:ln>
                      <a:noFill/>
                    </a:ln>
                  </pic:spPr>
                </pic:pic>
              </a:graphicData>
            </a:graphic>
          </wp:inline>
        </w:drawing>
      </w:r>
    </w:p>
    <w:p w14:paraId="3869797B"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Imagen capturada de Google Earth en 22/12/2023.</w:t>
      </w:r>
    </w:p>
    <w:p w14:paraId="416626D2"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p>
    <w:p w14:paraId="06EC168B"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Condiciones de accesibilidad de la zona: </w:t>
      </w:r>
    </w:p>
    <w:p w14:paraId="2A297437"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135C31C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Al distrito de Volcán de Buenos Aires lo atraviesan las siguientes rutas nacionales de carretera: Ruta Nacional 2 y Ruta Nacional 610.</w:t>
      </w:r>
    </w:p>
    <w:p w14:paraId="52EE8A4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43C216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acceso principal al centro de la comunidad de Volcán es sobre la Ruta Nacional 2, en la comunidad de El Peje y 3.2 kilómetros de camino cantonal asfaltado hacia el noroeste. Existen otras rutas de acceso de longitudes similares, pero de lastre en buen estado. </w:t>
      </w:r>
    </w:p>
    <w:p w14:paraId="31DA7B88"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25C1E7B3"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Condiciones socioeconómicas:</w:t>
      </w:r>
    </w:p>
    <w:p w14:paraId="1AE288F5"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7FACEB0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La población de estas comunidades en general es de bajos ingresos económicos, dedicados en un alto porcentaje a las actividades agrícolas, otro pequeño porcentaje a contrataciones ocasionales diversas y del estado. Cuenta con un valor en el Índice de Desarrollo Social Distrital 2017 (IDS) de 50.89 (para el área ubicada en el distrito Brunka) y 46.31 (para el área ubicada en el distrito Volcán).</w:t>
      </w:r>
    </w:p>
    <w:p w14:paraId="27C25FF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6E74ABC"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Infraestructura existente:</w:t>
      </w:r>
    </w:p>
    <w:p w14:paraId="522AF240"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49C66E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Infraestructura actual: 5 nacientes de captación, 2 tomas superficial, 12 quiebra gradientes, 5 tanques de almacenamiento, conducción y distribución en líneas de tuberías con 76.2 kilómetros instalados.</w:t>
      </w:r>
    </w:p>
    <w:p w14:paraId="0F257E9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C7667A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Las nacientes están ubicadas en la zona de recarga del Río Ángel a una elevación de los 1.000 m.s.n.m con buena cobertura forestal y fuera de impactos agrícolas. </w:t>
      </w:r>
    </w:p>
    <w:p w14:paraId="55737B16"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A45D9C7"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consumo promedio mensual registrado en 2025-2026 es de 39000 metros cúbicos. </w:t>
      </w:r>
    </w:p>
    <w:p w14:paraId="74C0788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6DC35E6"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desglosa en la siguiente tabla, las propiedades con construcciones registradas a nombre de la Asada Volcán, con el desglose de área, ubicación y tipo de construcción. </w:t>
      </w:r>
    </w:p>
    <w:p w14:paraId="190C793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0E9329D2" w14:textId="59510420"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58" w:name="_Toc158296315"/>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11</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Propiedades inscritas de la Asada Volcán</w:t>
      </w:r>
      <w:bookmarkEnd w:id="58"/>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838"/>
        <w:gridCol w:w="1418"/>
        <w:gridCol w:w="2786"/>
        <w:gridCol w:w="2786"/>
      </w:tblGrid>
      <w:tr w:rsidR="00B853B5" w:rsidRPr="00B853B5" w14:paraId="543C3036" w14:textId="77777777" w:rsidTr="00EF750D">
        <w:trPr>
          <w:tblHeader/>
          <w:jc w:val="center"/>
        </w:trPr>
        <w:tc>
          <w:tcPr>
            <w:tcW w:w="1838" w:type="dxa"/>
            <w:tcBorders>
              <w:bottom w:val="single" w:sz="12" w:space="0" w:color="8EAADB"/>
            </w:tcBorders>
            <w:vAlign w:val="center"/>
          </w:tcPr>
          <w:p w14:paraId="3EB813E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Plano</w:t>
            </w:r>
          </w:p>
        </w:tc>
        <w:tc>
          <w:tcPr>
            <w:tcW w:w="1418" w:type="dxa"/>
            <w:tcBorders>
              <w:bottom w:val="single" w:sz="12" w:space="0" w:color="8EAADB"/>
            </w:tcBorders>
            <w:vAlign w:val="center"/>
          </w:tcPr>
          <w:p w14:paraId="36E0BB72"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Área en m</w:t>
            </w:r>
            <w:r w:rsidRPr="00B853B5">
              <w:rPr>
                <w:rFonts w:ascii="Garamond" w:eastAsia="Garamond" w:hAnsi="Garamond" w:cs="Garamond"/>
                <w:b/>
                <w:bCs/>
                <w:vertAlign w:val="superscript"/>
              </w:rPr>
              <w:t>2</w:t>
            </w:r>
          </w:p>
        </w:tc>
        <w:tc>
          <w:tcPr>
            <w:tcW w:w="2786" w:type="dxa"/>
            <w:tcBorders>
              <w:bottom w:val="single" w:sz="12" w:space="0" w:color="8EAADB"/>
            </w:tcBorders>
            <w:vAlign w:val="center"/>
          </w:tcPr>
          <w:p w14:paraId="6683CA2C"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Ubicación</w:t>
            </w:r>
          </w:p>
        </w:tc>
        <w:tc>
          <w:tcPr>
            <w:tcW w:w="2786" w:type="dxa"/>
            <w:tcBorders>
              <w:bottom w:val="single" w:sz="12" w:space="0" w:color="8EAADB"/>
            </w:tcBorders>
            <w:vAlign w:val="center"/>
          </w:tcPr>
          <w:p w14:paraId="68EFD7F1"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Construcciones</w:t>
            </w:r>
          </w:p>
        </w:tc>
      </w:tr>
      <w:tr w:rsidR="00B853B5" w:rsidRPr="00B853B5" w14:paraId="69743016" w14:textId="77777777" w:rsidTr="00EF750D">
        <w:trPr>
          <w:jc w:val="center"/>
        </w:trPr>
        <w:tc>
          <w:tcPr>
            <w:tcW w:w="1838" w:type="dxa"/>
            <w:vAlign w:val="center"/>
          </w:tcPr>
          <w:p w14:paraId="24126488" w14:textId="77777777" w:rsidR="00B853B5" w:rsidRPr="00B853B5" w:rsidRDefault="00B853B5" w:rsidP="00B853B5">
            <w:pPr>
              <w:spacing w:after="200" w:line="276" w:lineRule="auto"/>
              <w:contextualSpacing/>
              <w:jc w:val="center"/>
              <w:rPr>
                <w:rFonts w:ascii="Garamond" w:hAnsi="Garamond" w:cs="Arial"/>
                <w:b/>
                <w:bCs/>
                <w:lang w:val="es-ES" w:eastAsia="en-US"/>
              </w:rPr>
            </w:pPr>
            <w:r w:rsidRPr="00B853B5">
              <w:rPr>
                <w:rFonts w:ascii="Garamond" w:eastAsia="Garamond" w:hAnsi="Garamond" w:cs="Garamond"/>
                <w:b/>
                <w:bCs/>
              </w:rPr>
              <w:t>P-0147178-1993</w:t>
            </w:r>
          </w:p>
        </w:tc>
        <w:tc>
          <w:tcPr>
            <w:tcW w:w="1418" w:type="dxa"/>
            <w:vAlign w:val="center"/>
          </w:tcPr>
          <w:p w14:paraId="70A771DF" w14:textId="77777777" w:rsidR="00B853B5" w:rsidRPr="00B853B5" w:rsidRDefault="00B853B5" w:rsidP="00B853B5">
            <w:pPr>
              <w:spacing w:after="200" w:line="276" w:lineRule="auto"/>
              <w:contextualSpacing/>
              <w:jc w:val="center"/>
              <w:rPr>
                <w:rFonts w:ascii="Garamond" w:hAnsi="Garamond" w:cs="Arial"/>
                <w:lang w:val="es-ES" w:eastAsia="en-US"/>
              </w:rPr>
            </w:pPr>
            <w:r w:rsidRPr="00B853B5">
              <w:rPr>
                <w:rFonts w:ascii="Garamond" w:eastAsia="Garamond" w:hAnsi="Garamond" w:cs="Garamond"/>
              </w:rPr>
              <w:t>371,72</w:t>
            </w:r>
          </w:p>
        </w:tc>
        <w:tc>
          <w:tcPr>
            <w:tcW w:w="2786" w:type="dxa"/>
            <w:vAlign w:val="center"/>
          </w:tcPr>
          <w:p w14:paraId="62C86841"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1.400 metros al norte de la Plaza de Deportes de Volcán</w:t>
            </w:r>
          </w:p>
        </w:tc>
        <w:tc>
          <w:tcPr>
            <w:tcW w:w="2786" w:type="dxa"/>
            <w:vAlign w:val="center"/>
          </w:tcPr>
          <w:p w14:paraId="3D546359" w14:textId="77777777" w:rsidR="00B853B5" w:rsidRPr="00B853B5" w:rsidRDefault="00B853B5" w:rsidP="00B853B5">
            <w:pPr>
              <w:spacing w:after="200" w:line="276" w:lineRule="auto"/>
              <w:contextualSpacing/>
              <w:rPr>
                <w:rFonts w:ascii="Garamond" w:hAnsi="Garamond" w:cs="Arial"/>
                <w:lang w:val="es-ES" w:eastAsia="en-US"/>
              </w:rPr>
            </w:pPr>
            <w:r w:rsidRPr="00B853B5">
              <w:rPr>
                <w:rFonts w:ascii="Garamond" w:eastAsia="Garamond" w:hAnsi="Garamond" w:cs="Garamond"/>
              </w:rPr>
              <w:t>Casa Sabanillas</w:t>
            </w:r>
          </w:p>
        </w:tc>
      </w:tr>
      <w:tr w:rsidR="00B853B5" w:rsidRPr="00B853B5" w14:paraId="3E19A29B" w14:textId="77777777" w:rsidTr="00EF750D">
        <w:trPr>
          <w:jc w:val="center"/>
        </w:trPr>
        <w:tc>
          <w:tcPr>
            <w:tcW w:w="1838" w:type="dxa"/>
            <w:vAlign w:val="center"/>
          </w:tcPr>
          <w:p w14:paraId="2965A545"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P-0956504-1991</w:t>
            </w:r>
          </w:p>
        </w:tc>
        <w:tc>
          <w:tcPr>
            <w:tcW w:w="1418" w:type="dxa"/>
            <w:vAlign w:val="center"/>
          </w:tcPr>
          <w:p w14:paraId="3B820369"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260,26</w:t>
            </w:r>
          </w:p>
        </w:tc>
        <w:tc>
          <w:tcPr>
            <w:tcW w:w="2786" w:type="dxa"/>
            <w:vAlign w:val="center"/>
          </w:tcPr>
          <w:p w14:paraId="05C9A798"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50 metros al sur del Templo Católico de Volcán</w:t>
            </w:r>
          </w:p>
        </w:tc>
        <w:tc>
          <w:tcPr>
            <w:tcW w:w="2786" w:type="dxa"/>
            <w:vAlign w:val="center"/>
          </w:tcPr>
          <w:p w14:paraId="242F1A88"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Oficina</w:t>
            </w:r>
          </w:p>
        </w:tc>
      </w:tr>
      <w:tr w:rsidR="00B853B5" w:rsidRPr="00B853B5" w14:paraId="3BBAE981" w14:textId="77777777" w:rsidTr="00EF750D">
        <w:trPr>
          <w:jc w:val="center"/>
        </w:trPr>
        <w:tc>
          <w:tcPr>
            <w:tcW w:w="1838" w:type="dxa"/>
            <w:vAlign w:val="center"/>
          </w:tcPr>
          <w:p w14:paraId="787FEDE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P-1905050-2016</w:t>
            </w:r>
          </w:p>
        </w:tc>
        <w:tc>
          <w:tcPr>
            <w:tcW w:w="1418" w:type="dxa"/>
            <w:vAlign w:val="center"/>
          </w:tcPr>
          <w:p w14:paraId="5ED759DD"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300</w:t>
            </w:r>
          </w:p>
        </w:tc>
        <w:tc>
          <w:tcPr>
            <w:tcW w:w="2786" w:type="dxa"/>
            <w:vAlign w:val="center"/>
          </w:tcPr>
          <w:p w14:paraId="069F591E"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250 metros al norte de la Plaza de Deportes de Cañas</w:t>
            </w:r>
          </w:p>
        </w:tc>
        <w:tc>
          <w:tcPr>
            <w:tcW w:w="2786" w:type="dxa"/>
            <w:vAlign w:val="center"/>
          </w:tcPr>
          <w:p w14:paraId="2A2A819B"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Tanques de Almacenamiento (2 de 22 m3 c/u)</w:t>
            </w:r>
          </w:p>
        </w:tc>
      </w:tr>
      <w:tr w:rsidR="00B853B5" w:rsidRPr="00B853B5" w14:paraId="27A03478" w14:textId="77777777" w:rsidTr="00EF750D">
        <w:trPr>
          <w:jc w:val="center"/>
        </w:trPr>
        <w:tc>
          <w:tcPr>
            <w:tcW w:w="1838" w:type="dxa"/>
            <w:vAlign w:val="center"/>
          </w:tcPr>
          <w:p w14:paraId="0C9CDDAC"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P-1252395-2008</w:t>
            </w:r>
          </w:p>
        </w:tc>
        <w:tc>
          <w:tcPr>
            <w:tcW w:w="1418" w:type="dxa"/>
            <w:vAlign w:val="center"/>
          </w:tcPr>
          <w:p w14:paraId="78F0C0DC"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872,15</w:t>
            </w:r>
          </w:p>
        </w:tc>
        <w:tc>
          <w:tcPr>
            <w:tcW w:w="2786" w:type="dxa"/>
            <w:vAlign w:val="center"/>
          </w:tcPr>
          <w:p w14:paraId="4723ACA9"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700 metros norte del Puente sobre el Río Volcán en Sabanillas</w:t>
            </w:r>
          </w:p>
        </w:tc>
        <w:tc>
          <w:tcPr>
            <w:tcW w:w="2786" w:type="dxa"/>
            <w:vAlign w:val="center"/>
          </w:tcPr>
          <w:p w14:paraId="3EA3A93C"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Tanques de Almacenamiento El Bosque (3= 1 de 500 m3, 1 de 100 m3 y 1 de 80 m3)</w:t>
            </w:r>
          </w:p>
        </w:tc>
      </w:tr>
      <w:tr w:rsidR="00B853B5" w:rsidRPr="00B853B5" w14:paraId="7F7B4F1B" w14:textId="77777777" w:rsidTr="00EF750D">
        <w:trPr>
          <w:jc w:val="center"/>
        </w:trPr>
        <w:tc>
          <w:tcPr>
            <w:tcW w:w="1838" w:type="dxa"/>
            <w:vAlign w:val="center"/>
          </w:tcPr>
          <w:p w14:paraId="4809B8FC"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P-1797514-2015</w:t>
            </w:r>
          </w:p>
        </w:tc>
        <w:tc>
          <w:tcPr>
            <w:tcW w:w="1418" w:type="dxa"/>
            <w:vAlign w:val="center"/>
          </w:tcPr>
          <w:p w14:paraId="380A69C6"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500</w:t>
            </w:r>
          </w:p>
        </w:tc>
        <w:tc>
          <w:tcPr>
            <w:tcW w:w="2786" w:type="dxa"/>
            <w:vAlign w:val="center"/>
          </w:tcPr>
          <w:p w14:paraId="02889CB0"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6 kilómetros al norte de la Plaza de Deportes de Volcán</w:t>
            </w:r>
          </w:p>
        </w:tc>
        <w:tc>
          <w:tcPr>
            <w:tcW w:w="2786" w:type="dxa"/>
            <w:vAlign w:val="center"/>
          </w:tcPr>
          <w:p w14:paraId="4DEFB18D"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Lote Jesús sin construcción</w:t>
            </w:r>
          </w:p>
        </w:tc>
      </w:tr>
      <w:tr w:rsidR="00B853B5" w:rsidRPr="00B853B5" w14:paraId="02049383" w14:textId="77777777" w:rsidTr="00EF750D">
        <w:trPr>
          <w:jc w:val="center"/>
        </w:trPr>
        <w:tc>
          <w:tcPr>
            <w:tcW w:w="1838" w:type="dxa"/>
            <w:vAlign w:val="center"/>
          </w:tcPr>
          <w:p w14:paraId="3896AA55"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P-1649564-2013</w:t>
            </w:r>
          </w:p>
        </w:tc>
        <w:tc>
          <w:tcPr>
            <w:tcW w:w="1418" w:type="dxa"/>
            <w:vAlign w:val="center"/>
          </w:tcPr>
          <w:p w14:paraId="07114B89"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46</w:t>
            </w:r>
          </w:p>
        </w:tc>
        <w:tc>
          <w:tcPr>
            <w:tcW w:w="2786" w:type="dxa"/>
            <w:vAlign w:val="center"/>
          </w:tcPr>
          <w:p w14:paraId="3D8B7347"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1 kilómetro al norte y 1 kilómetro al oeste de la Escuela Llano Bonito</w:t>
            </w:r>
          </w:p>
        </w:tc>
        <w:tc>
          <w:tcPr>
            <w:tcW w:w="2786" w:type="dxa"/>
            <w:vAlign w:val="center"/>
          </w:tcPr>
          <w:p w14:paraId="29D24096"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Sin construcción</w:t>
            </w:r>
          </w:p>
        </w:tc>
      </w:tr>
      <w:tr w:rsidR="00B853B5" w:rsidRPr="00B853B5" w14:paraId="138FEEF9" w14:textId="77777777" w:rsidTr="00EF750D">
        <w:trPr>
          <w:jc w:val="center"/>
        </w:trPr>
        <w:tc>
          <w:tcPr>
            <w:tcW w:w="1838" w:type="dxa"/>
            <w:vAlign w:val="center"/>
          </w:tcPr>
          <w:p w14:paraId="049BB3F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P-1755208-2014</w:t>
            </w:r>
          </w:p>
        </w:tc>
        <w:tc>
          <w:tcPr>
            <w:tcW w:w="1418" w:type="dxa"/>
            <w:vAlign w:val="center"/>
          </w:tcPr>
          <w:p w14:paraId="645437D1"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4.000</w:t>
            </w:r>
          </w:p>
        </w:tc>
        <w:tc>
          <w:tcPr>
            <w:tcW w:w="2786" w:type="dxa"/>
            <w:vAlign w:val="center"/>
          </w:tcPr>
          <w:p w14:paraId="0DEE2E07"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1.700 metros al norte de la Escuela Llano Bonito</w:t>
            </w:r>
          </w:p>
        </w:tc>
        <w:tc>
          <w:tcPr>
            <w:tcW w:w="2786" w:type="dxa"/>
            <w:vAlign w:val="center"/>
          </w:tcPr>
          <w:p w14:paraId="05687653"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Planta de Tratamiento y Tanques de Almacenamiento Llano Bonito (4= 3 de 22 m3 y 1 de 40 m3)</w:t>
            </w:r>
          </w:p>
        </w:tc>
      </w:tr>
      <w:tr w:rsidR="00B853B5" w:rsidRPr="00B853B5" w14:paraId="4BD69F5A" w14:textId="77777777" w:rsidTr="00EF750D">
        <w:trPr>
          <w:jc w:val="center"/>
        </w:trPr>
        <w:tc>
          <w:tcPr>
            <w:tcW w:w="1838" w:type="dxa"/>
            <w:vAlign w:val="center"/>
          </w:tcPr>
          <w:p w14:paraId="13CF8F5E"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P-1644301-2013</w:t>
            </w:r>
          </w:p>
        </w:tc>
        <w:tc>
          <w:tcPr>
            <w:tcW w:w="1418" w:type="dxa"/>
            <w:vAlign w:val="center"/>
          </w:tcPr>
          <w:p w14:paraId="1CBBB283"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300</w:t>
            </w:r>
          </w:p>
        </w:tc>
        <w:tc>
          <w:tcPr>
            <w:tcW w:w="2786" w:type="dxa"/>
            <w:vAlign w:val="center"/>
          </w:tcPr>
          <w:p w14:paraId="67BC0941"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400 metros al sur y 260 metros al noroeste del Puente Quebrada Morales</w:t>
            </w:r>
          </w:p>
        </w:tc>
        <w:tc>
          <w:tcPr>
            <w:tcW w:w="2786" w:type="dxa"/>
            <w:vAlign w:val="center"/>
          </w:tcPr>
          <w:p w14:paraId="33BBEF43"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Sin construcción</w:t>
            </w:r>
          </w:p>
        </w:tc>
      </w:tr>
      <w:tr w:rsidR="00B853B5" w:rsidRPr="00B853B5" w14:paraId="01EBF617" w14:textId="77777777" w:rsidTr="00EF750D">
        <w:trPr>
          <w:jc w:val="center"/>
        </w:trPr>
        <w:tc>
          <w:tcPr>
            <w:tcW w:w="1838" w:type="dxa"/>
            <w:vAlign w:val="center"/>
          </w:tcPr>
          <w:p w14:paraId="03AC1A83"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P-1644296-2013</w:t>
            </w:r>
          </w:p>
        </w:tc>
        <w:tc>
          <w:tcPr>
            <w:tcW w:w="1418" w:type="dxa"/>
            <w:vAlign w:val="center"/>
          </w:tcPr>
          <w:p w14:paraId="7C81CCC2"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416</w:t>
            </w:r>
          </w:p>
        </w:tc>
        <w:tc>
          <w:tcPr>
            <w:tcW w:w="2786" w:type="dxa"/>
            <w:vAlign w:val="center"/>
          </w:tcPr>
          <w:p w14:paraId="1A991F05"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1 kilómetro al sur sobre Quebrada Morales en Los Ángeles</w:t>
            </w:r>
          </w:p>
        </w:tc>
        <w:tc>
          <w:tcPr>
            <w:tcW w:w="2786" w:type="dxa"/>
            <w:vAlign w:val="center"/>
          </w:tcPr>
          <w:p w14:paraId="7F47D60F"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Tanque de Almacenamiento Los Ángeles (100 m3)</w:t>
            </w:r>
          </w:p>
        </w:tc>
      </w:tr>
      <w:tr w:rsidR="00B853B5" w:rsidRPr="00B853B5" w14:paraId="7CF8B23A" w14:textId="77777777" w:rsidTr="00EF750D">
        <w:trPr>
          <w:jc w:val="center"/>
        </w:trPr>
        <w:tc>
          <w:tcPr>
            <w:tcW w:w="1838" w:type="dxa"/>
            <w:vAlign w:val="center"/>
          </w:tcPr>
          <w:p w14:paraId="544C6E8D"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P-1631663-2013</w:t>
            </w:r>
          </w:p>
        </w:tc>
        <w:tc>
          <w:tcPr>
            <w:tcW w:w="1418" w:type="dxa"/>
            <w:vAlign w:val="center"/>
          </w:tcPr>
          <w:p w14:paraId="1339F8C9"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45</w:t>
            </w:r>
          </w:p>
        </w:tc>
        <w:tc>
          <w:tcPr>
            <w:tcW w:w="2786" w:type="dxa"/>
            <w:vAlign w:val="center"/>
          </w:tcPr>
          <w:p w14:paraId="3209EE2B"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50 metros al este de la entrada principal a Volcán</w:t>
            </w:r>
          </w:p>
        </w:tc>
        <w:tc>
          <w:tcPr>
            <w:tcW w:w="2786" w:type="dxa"/>
            <w:vAlign w:val="center"/>
          </w:tcPr>
          <w:p w14:paraId="4202B579"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Sin construcción</w:t>
            </w:r>
          </w:p>
        </w:tc>
      </w:tr>
    </w:tbl>
    <w:p w14:paraId="6BDA6204"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Asada Volcán.</w:t>
      </w:r>
    </w:p>
    <w:p w14:paraId="33EF128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75A6FEF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En la siguiente tabla se desglosa las propiedades con servidumbres inscritas y las que se encuentran en trámite:</w:t>
      </w:r>
    </w:p>
    <w:p w14:paraId="228F2FFB"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A306E26" w14:textId="411B398D"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59" w:name="_Toc158296316"/>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12</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Servidumbres inscritas y en trámite de la Asada Volcán</w:t>
      </w:r>
      <w:bookmarkEnd w:id="59"/>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845"/>
        <w:gridCol w:w="1818"/>
        <w:gridCol w:w="1865"/>
        <w:gridCol w:w="1649"/>
        <w:gridCol w:w="1651"/>
      </w:tblGrid>
      <w:tr w:rsidR="00B853B5" w:rsidRPr="00B853B5" w14:paraId="1DAC2960" w14:textId="77777777" w:rsidTr="00EF750D">
        <w:tc>
          <w:tcPr>
            <w:tcW w:w="1845" w:type="dxa"/>
            <w:tcBorders>
              <w:bottom w:val="single" w:sz="12" w:space="0" w:color="8EAADB"/>
            </w:tcBorders>
            <w:vAlign w:val="center"/>
          </w:tcPr>
          <w:p w14:paraId="5EFE89F6"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Plano</w:t>
            </w:r>
          </w:p>
        </w:tc>
        <w:tc>
          <w:tcPr>
            <w:tcW w:w="1818" w:type="dxa"/>
            <w:tcBorders>
              <w:bottom w:val="single" w:sz="12" w:space="0" w:color="8EAADB"/>
            </w:tcBorders>
            <w:vAlign w:val="center"/>
          </w:tcPr>
          <w:p w14:paraId="65FF7A42"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Área en m</w:t>
            </w:r>
            <w:r w:rsidRPr="00B853B5">
              <w:rPr>
                <w:rFonts w:ascii="Garamond" w:eastAsia="Garamond" w:hAnsi="Garamond" w:cs="Garamond"/>
                <w:b/>
                <w:bCs/>
                <w:vertAlign w:val="superscript"/>
              </w:rPr>
              <w:t>2</w:t>
            </w:r>
          </w:p>
        </w:tc>
        <w:tc>
          <w:tcPr>
            <w:tcW w:w="1865" w:type="dxa"/>
            <w:tcBorders>
              <w:bottom w:val="single" w:sz="12" w:space="0" w:color="8EAADB"/>
            </w:tcBorders>
            <w:vAlign w:val="center"/>
          </w:tcPr>
          <w:p w14:paraId="1502124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Longitud en metros lineales</w:t>
            </w:r>
          </w:p>
        </w:tc>
        <w:tc>
          <w:tcPr>
            <w:tcW w:w="1649" w:type="dxa"/>
            <w:tcBorders>
              <w:bottom w:val="single" w:sz="12" w:space="0" w:color="8EAADB"/>
            </w:tcBorders>
            <w:vAlign w:val="center"/>
          </w:tcPr>
          <w:p w14:paraId="0B847255"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Ubicación</w:t>
            </w:r>
          </w:p>
        </w:tc>
        <w:tc>
          <w:tcPr>
            <w:tcW w:w="1651" w:type="dxa"/>
            <w:tcBorders>
              <w:bottom w:val="single" w:sz="12" w:space="0" w:color="8EAADB"/>
            </w:tcBorders>
            <w:vAlign w:val="center"/>
          </w:tcPr>
          <w:p w14:paraId="7322EB5C"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Observaciones</w:t>
            </w:r>
          </w:p>
        </w:tc>
      </w:tr>
      <w:tr w:rsidR="00B853B5" w:rsidRPr="00B853B5" w14:paraId="21D51F86" w14:textId="77777777" w:rsidTr="00EF750D">
        <w:tc>
          <w:tcPr>
            <w:tcW w:w="1845" w:type="dxa"/>
            <w:vAlign w:val="center"/>
          </w:tcPr>
          <w:p w14:paraId="70BC1293"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18350000 y 3988000</w:t>
            </w:r>
          </w:p>
        </w:tc>
        <w:tc>
          <w:tcPr>
            <w:tcW w:w="1818" w:type="dxa"/>
            <w:vAlign w:val="center"/>
          </w:tcPr>
          <w:p w14:paraId="7A219546"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12.324</w:t>
            </w:r>
          </w:p>
        </w:tc>
        <w:tc>
          <w:tcPr>
            <w:tcW w:w="1865" w:type="dxa"/>
            <w:vAlign w:val="center"/>
          </w:tcPr>
          <w:p w14:paraId="756892A4" w14:textId="77777777" w:rsidR="00B853B5" w:rsidRPr="00B853B5" w:rsidRDefault="00B853B5" w:rsidP="00B853B5">
            <w:pPr>
              <w:spacing w:after="0" w:line="240" w:lineRule="auto"/>
              <w:jc w:val="center"/>
              <w:rPr>
                <w:rFonts w:ascii="Garamond" w:eastAsia="Garamond" w:hAnsi="Garamond" w:cs="Garamond"/>
              </w:rPr>
            </w:pPr>
            <w:r w:rsidRPr="00B853B5">
              <w:rPr>
                <w:rFonts w:ascii="Garamond" w:eastAsia="Garamond" w:hAnsi="Garamond" w:cs="Garamond"/>
              </w:rPr>
              <w:t xml:space="preserve">4.108 </w:t>
            </w:r>
          </w:p>
          <w:p w14:paraId="47CE934A" w14:textId="77777777" w:rsidR="00B853B5" w:rsidRPr="00B853B5" w:rsidRDefault="00B853B5" w:rsidP="00B853B5">
            <w:pPr>
              <w:spacing w:after="0" w:line="240" w:lineRule="auto"/>
              <w:jc w:val="center"/>
              <w:rPr>
                <w:rFonts w:ascii="Garamond" w:eastAsia="Garamond" w:hAnsi="Garamond" w:cs="Garamond"/>
              </w:rPr>
            </w:pPr>
            <w:r w:rsidRPr="00B853B5">
              <w:rPr>
                <w:rFonts w:ascii="Garamond" w:eastAsia="Garamond" w:hAnsi="Garamond" w:cs="Garamond"/>
              </w:rPr>
              <w:t>(un metro de ancho)</w:t>
            </w:r>
          </w:p>
          <w:p w14:paraId="5AF56582" w14:textId="77777777" w:rsidR="00B853B5" w:rsidRPr="00B853B5" w:rsidRDefault="00B853B5" w:rsidP="00B853B5">
            <w:pPr>
              <w:spacing w:after="0" w:line="240" w:lineRule="auto"/>
              <w:rPr>
                <w:rFonts w:ascii="Garamond" w:eastAsia="Garamond" w:hAnsi="Garamond" w:cs="Garamond"/>
              </w:rPr>
            </w:pPr>
            <w:r w:rsidRPr="00B853B5">
              <w:rPr>
                <w:rFonts w:ascii="Garamond" w:eastAsia="Garamond" w:hAnsi="Garamond" w:cs="Garamond"/>
              </w:rPr>
              <w:t>Escrituras #203117000 y # 18359000.</w:t>
            </w:r>
          </w:p>
        </w:tc>
        <w:tc>
          <w:tcPr>
            <w:tcW w:w="1649" w:type="dxa"/>
            <w:vAlign w:val="center"/>
          </w:tcPr>
          <w:p w14:paraId="13440E16"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 xml:space="preserve">Red de Conducción de Río Ángel a Calle Pública Volcán. </w:t>
            </w:r>
          </w:p>
        </w:tc>
        <w:tc>
          <w:tcPr>
            <w:tcW w:w="1651" w:type="dxa"/>
          </w:tcPr>
          <w:p w14:paraId="34DD1E03"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 xml:space="preserve">Son 2 servidumbres inscritas en Finca Sociedad Rambe Limitada. Más pendiente en condición de hecho: 2400, </w:t>
            </w:r>
            <w:r w:rsidRPr="00B853B5">
              <w:rPr>
                <w:rFonts w:ascii="Garamond" w:eastAsia="Garamond" w:hAnsi="Garamond" w:cs="Garamond"/>
              </w:rPr>
              <w:lastRenderedPageBreak/>
              <w:t xml:space="preserve">250 y 200 metros lineales en trámite. </w:t>
            </w:r>
          </w:p>
        </w:tc>
      </w:tr>
      <w:tr w:rsidR="00B853B5" w:rsidRPr="00B853B5" w14:paraId="0F4BB9B8" w14:textId="77777777" w:rsidTr="00EF750D">
        <w:tc>
          <w:tcPr>
            <w:tcW w:w="1845" w:type="dxa"/>
            <w:vAlign w:val="center"/>
          </w:tcPr>
          <w:p w14:paraId="082727A2"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lastRenderedPageBreak/>
              <w:t>2250431</w:t>
            </w:r>
          </w:p>
        </w:tc>
        <w:tc>
          <w:tcPr>
            <w:tcW w:w="1818" w:type="dxa"/>
            <w:vAlign w:val="center"/>
          </w:tcPr>
          <w:p w14:paraId="61281E0F"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4.200</w:t>
            </w:r>
          </w:p>
        </w:tc>
        <w:tc>
          <w:tcPr>
            <w:tcW w:w="1865" w:type="dxa"/>
            <w:vAlign w:val="center"/>
          </w:tcPr>
          <w:p w14:paraId="5B1605BB" w14:textId="77777777" w:rsidR="00B853B5" w:rsidRPr="00B853B5" w:rsidRDefault="00B853B5" w:rsidP="00B853B5">
            <w:pPr>
              <w:spacing w:after="0" w:line="240" w:lineRule="auto"/>
              <w:jc w:val="center"/>
              <w:rPr>
                <w:rFonts w:ascii="Garamond" w:eastAsia="Garamond" w:hAnsi="Garamond" w:cs="Garamond"/>
              </w:rPr>
            </w:pPr>
            <w:r w:rsidRPr="00B853B5">
              <w:rPr>
                <w:rFonts w:ascii="Garamond" w:eastAsia="Garamond" w:hAnsi="Garamond" w:cs="Garamond"/>
              </w:rPr>
              <w:t xml:space="preserve">1.400 </w:t>
            </w:r>
          </w:p>
          <w:p w14:paraId="76E6C06E" w14:textId="77777777" w:rsidR="00B853B5" w:rsidRPr="00B853B5" w:rsidRDefault="00B853B5" w:rsidP="00B853B5">
            <w:pPr>
              <w:spacing w:after="0" w:line="240" w:lineRule="auto"/>
              <w:rPr>
                <w:rFonts w:ascii="Garamond" w:eastAsia="Garamond" w:hAnsi="Garamond" w:cs="Garamond"/>
              </w:rPr>
            </w:pPr>
            <w:r w:rsidRPr="00B853B5">
              <w:rPr>
                <w:rFonts w:ascii="Garamond" w:eastAsia="Garamond" w:hAnsi="Garamond" w:cs="Garamond"/>
              </w:rPr>
              <w:t>(un metro de ancho)</w:t>
            </w:r>
          </w:p>
        </w:tc>
        <w:tc>
          <w:tcPr>
            <w:tcW w:w="1649" w:type="dxa"/>
            <w:vMerge w:val="restart"/>
            <w:vAlign w:val="center"/>
          </w:tcPr>
          <w:p w14:paraId="0D713293"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Conducción Río Ángel Llano Bonito</w:t>
            </w:r>
          </w:p>
        </w:tc>
        <w:tc>
          <w:tcPr>
            <w:tcW w:w="1651" w:type="dxa"/>
            <w:vMerge w:val="restart"/>
          </w:tcPr>
          <w:p w14:paraId="4AADF98F"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Inscrita con Sociedad Verdes Prados del Río Ángel S.A</w:t>
            </w:r>
          </w:p>
        </w:tc>
      </w:tr>
      <w:tr w:rsidR="00B853B5" w:rsidRPr="00B853B5" w14:paraId="0A3BD1B8" w14:textId="77777777" w:rsidTr="00EF750D">
        <w:tc>
          <w:tcPr>
            <w:tcW w:w="1845" w:type="dxa"/>
            <w:vAlign w:val="center"/>
          </w:tcPr>
          <w:p w14:paraId="6720885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1932101</w:t>
            </w:r>
          </w:p>
        </w:tc>
        <w:tc>
          <w:tcPr>
            <w:tcW w:w="1818" w:type="dxa"/>
            <w:vAlign w:val="center"/>
          </w:tcPr>
          <w:p w14:paraId="661BF3F5"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3.773, 34</w:t>
            </w:r>
          </w:p>
        </w:tc>
        <w:tc>
          <w:tcPr>
            <w:tcW w:w="1865" w:type="dxa"/>
            <w:vAlign w:val="center"/>
          </w:tcPr>
          <w:p w14:paraId="596AE33B" w14:textId="77777777" w:rsidR="00B853B5" w:rsidRPr="00B853B5" w:rsidRDefault="00B853B5" w:rsidP="00B853B5">
            <w:pPr>
              <w:spacing w:after="0" w:line="240" w:lineRule="auto"/>
              <w:jc w:val="center"/>
              <w:rPr>
                <w:rFonts w:ascii="Garamond" w:eastAsia="Garamond" w:hAnsi="Garamond" w:cs="Garamond"/>
              </w:rPr>
            </w:pPr>
            <w:r w:rsidRPr="00B853B5">
              <w:rPr>
                <w:rFonts w:ascii="Garamond" w:eastAsia="Garamond" w:hAnsi="Garamond" w:cs="Garamond"/>
              </w:rPr>
              <w:t>1.457,78</w:t>
            </w:r>
          </w:p>
        </w:tc>
        <w:tc>
          <w:tcPr>
            <w:tcW w:w="1649" w:type="dxa"/>
            <w:vMerge/>
            <w:vAlign w:val="center"/>
          </w:tcPr>
          <w:p w14:paraId="749C377B" w14:textId="77777777" w:rsidR="00B853B5" w:rsidRPr="00B853B5" w:rsidRDefault="00B853B5" w:rsidP="00B853B5">
            <w:pPr>
              <w:spacing w:after="200" w:line="276" w:lineRule="auto"/>
              <w:contextualSpacing/>
              <w:rPr>
                <w:rFonts w:ascii="Garamond" w:eastAsia="Garamond" w:hAnsi="Garamond" w:cs="Garamond"/>
              </w:rPr>
            </w:pPr>
          </w:p>
        </w:tc>
        <w:tc>
          <w:tcPr>
            <w:tcW w:w="1651" w:type="dxa"/>
            <w:vMerge/>
          </w:tcPr>
          <w:p w14:paraId="28095CDA" w14:textId="77777777" w:rsidR="00B853B5" w:rsidRPr="00B853B5" w:rsidRDefault="00B853B5" w:rsidP="00B853B5">
            <w:pPr>
              <w:spacing w:after="200" w:line="276" w:lineRule="auto"/>
              <w:contextualSpacing/>
              <w:rPr>
                <w:rFonts w:ascii="Garamond" w:eastAsia="Garamond" w:hAnsi="Garamond" w:cs="Garamond"/>
              </w:rPr>
            </w:pPr>
          </w:p>
        </w:tc>
      </w:tr>
      <w:tr w:rsidR="00B853B5" w:rsidRPr="00B853B5" w14:paraId="4D502190" w14:textId="77777777" w:rsidTr="00EF750D">
        <w:tc>
          <w:tcPr>
            <w:tcW w:w="1845" w:type="dxa"/>
            <w:vAlign w:val="center"/>
          </w:tcPr>
          <w:p w14:paraId="33E92E00"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2350375</w:t>
            </w:r>
          </w:p>
        </w:tc>
        <w:tc>
          <w:tcPr>
            <w:tcW w:w="1818" w:type="dxa"/>
            <w:vAlign w:val="center"/>
          </w:tcPr>
          <w:p w14:paraId="13968BA5"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5054, 52</w:t>
            </w:r>
          </w:p>
        </w:tc>
        <w:tc>
          <w:tcPr>
            <w:tcW w:w="1865" w:type="dxa"/>
            <w:vAlign w:val="center"/>
          </w:tcPr>
          <w:p w14:paraId="11780406" w14:textId="77777777" w:rsidR="00B853B5" w:rsidRPr="00B853B5" w:rsidRDefault="00B853B5" w:rsidP="00B853B5">
            <w:pPr>
              <w:spacing w:after="0" w:line="240" w:lineRule="auto"/>
              <w:jc w:val="center"/>
              <w:rPr>
                <w:rFonts w:ascii="Garamond" w:eastAsia="Garamond" w:hAnsi="Garamond" w:cs="Garamond"/>
              </w:rPr>
            </w:pPr>
            <w:r w:rsidRPr="00B853B5">
              <w:rPr>
                <w:rFonts w:ascii="Garamond" w:eastAsia="Garamond" w:hAnsi="Garamond" w:cs="Garamond"/>
              </w:rPr>
              <w:t>1.684</w:t>
            </w:r>
          </w:p>
        </w:tc>
        <w:tc>
          <w:tcPr>
            <w:tcW w:w="1649" w:type="dxa"/>
            <w:vAlign w:val="center"/>
          </w:tcPr>
          <w:p w14:paraId="443F0DCE"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 xml:space="preserve">Conducción Río Ángel Volcán </w:t>
            </w:r>
          </w:p>
        </w:tc>
        <w:tc>
          <w:tcPr>
            <w:tcW w:w="1651" w:type="dxa"/>
          </w:tcPr>
          <w:p w14:paraId="42017772" w14:textId="77777777" w:rsidR="00B853B5" w:rsidRPr="00B853B5" w:rsidRDefault="00B853B5" w:rsidP="00B853B5">
            <w:pPr>
              <w:spacing w:after="200" w:line="276" w:lineRule="auto"/>
              <w:contextualSpacing/>
              <w:rPr>
                <w:rFonts w:ascii="Garamond" w:eastAsia="Garamond" w:hAnsi="Garamond" w:cs="Garamond"/>
              </w:rPr>
            </w:pPr>
            <w:r w:rsidRPr="00B853B5">
              <w:rPr>
                <w:rFonts w:ascii="Garamond" w:eastAsia="Garamond" w:hAnsi="Garamond" w:cs="Garamond"/>
              </w:rPr>
              <w:t xml:space="preserve">Inscrita con Sociedad Marbe </w:t>
            </w:r>
          </w:p>
        </w:tc>
      </w:tr>
      <w:tr w:rsidR="00B853B5" w:rsidRPr="00B853B5" w14:paraId="5559E6D3" w14:textId="77777777" w:rsidTr="00EF750D">
        <w:tc>
          <w:tcPr>
            <w:tcW w:w="1845" w:type="dxa"/>
            <w:vAlign w:val="center"/>
          </w:tcPr>
          <w:p w14:paraId="1624604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Totales</w:t>
            </w:r>
          </w:p>
        </w:tc>
        <w:tc>
          <w:tcPr>
            <w:tcW w:w="1818" w:type="dxa"/>
            <w:vAlign w:val="center"/>
          </w:tcPr>
          <w:p w14:paraId="0C8EBB98" w14:textId="77777777" w:rsidR="00B853B5" w:rsidRPr="00B853B5" w:rsidRDefault="00B853B5" w:rsidP="00B853B5">
            <w:pPr>
              <w:spacing w:after="200" w:line="276" w:lineRule="auto"/>
              <w:contextualSpacing/>
              <w:jc w:val="center"/>
              <w:rPr>
                <w:rFonts w:ascii="Garamond" w:eastAsia="Garamond" w:hAnsi="Garamond" w:cs="Garamond"/>
                <w:b/>
              </w:rPr>
            </w:pPr>
            <w:r w:rsidRPr="00B853B5">
              <w:rPr>
                <w:rFonts w:ascii="Garamond" w:eastAsia="Garamond" w:hAnsi="Garamond" w:cs="Garamond"/>
                <w:b/>
              </w:rPr>
              <w:t>25.351, 86</w:t>
            </w:r>
          </w:p>
        </w:tc>
        <w:tc>
          <w:tcPr>
            <w:tcW w:w="1865" w:type="dxa"/>
            <w:vAlign w:val="center"/>
          </w:tcPr>
          <w:p w14:paraId="5ABF7F59" w14:textId="77777777" w:rsidR="00B853B5" w:rsidRPr="00B853B5" w:rsidRDefault="00B853B5" w:rsidP="00B853B5">
            <w:pPr>
              <w:spacing w:after="200" w:line="276" w:lineRule="auto"/>
              <w:contextualSpacing/>
              <w:jc w:val="center"/>
              <w:rPr>
                <w:rFonts w:ascii="Garamond" w:eastAsia="Garamond" w:hAnsi="Garamond" w:cs="Garamond"/>
                <w:b/>
              </w:rPr>
            </w:pPr>
            <w:r w:rsidRPr="00B853B5">
              <w:rPr>
                <w:rFonts w:ascii="Garamond" w:eastAsia="Garamond" w:hAnsi="Garamond" w:cs="Garamond"/>
                <w:b/>
              </w:rPr>
              <w:t>8.649,78</w:t>
            </w:r>
          </w:p>
        </w:tc>
        <w:tc>
          <w:tcPr>
            <w:tcW w:w="1649" w:type="dxa"/>
          </w:tcPr>
          <w:p w14:paraId="7F855DF5" w14:textId="77777777" w:rsidR="00B853B5" w:rsidRPr="00B853B5" w:rsidRDefault="00B853B5" w:rsidP="00B853B5">
            <w:pPr>
              <w:spacing w:after="0" w:line="240" w:lineRule="auto"/>
              <w:rPr>
                <w:rFonts w:ascii="Garamond" w:hAnsi="Garamond" w:cs="Arial"/>
                <w:lang w:val="es-419" w:eastAsia="es-ES"/>
              </w:rPr>
            </w:pPr>
          </w:p>
        </w:tc>
        <w:tc>
          <w:tcPr>
            <w:tcW w:w="1651" w:type="dxa"/>
          </w:tcPr>
          <w:p w14:paraId="3A727E09" w14:textId="77777777" w:rsidR="00B853B5" w:rsidRPr="00B853B5" w:rsidRDefault="00B853B5" w:rsidP="00B853B5">
            <w:pPr>
              <w:spacing w:after="0" w:line="240" w:lineRule="auto"/>
              <w:rPr>
                <w:rFonts w:ascii="Garamond" w:hAnsi="Garamond" w:cs="Arial"/>
                <w:lang w:val="es-419" w:eastAsia="es-ES"/>
              </w:rPr>
            </w:pPr>
          </w:p>
        </w:tc>
      </w:tr>
    </w:tbl>
    <w:p w14:paraId="74F91865"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Asada Volcán.</w:t>
      </w:r>
    </w:p>
    <w:p w14:paraId="1329E28A"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60" w:name="_Toc158296317"/>
    </w:p>
    <w:p w14:paraId="48E487BF"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p>
    <w:p w14:paraId="02388C66" w14:textId="73D633E2"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13</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Resumen de las servidumbres inscritas de la Asada Volcán</w:t>
      </w:r>
      <w:bookmarkEnd w:id="60"/>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50"/>
        <w:gridCol w:w="4278"/>
      </w:tblGrid>
      <w:tr w:rsidR="00B853B5" w:rsidRPr="00B853B5" w14:paraId="0B144680" w14:textId="77777777" w:rsidTr="00EF750D">
        <w:tc>
          <w:tcPr>
            <w:tcW w:w="8828" w:type="dxa"/>
            <w:gridSpan w:val="2"/>
            <w:tcBorders>
              <w:bottom w:val="single" w:sz="12" w:space="0" w:color="8EAADB"/>
            </w:tcBorders>
          </w:tcPr>
          <w:p w14:paraId="4E6EC8A5" w14:textId="77777777" w:rsidR="00B853B5" w:rsidRPr="00B853B5" w:rsidRDefault="00B853B5" w:rsidP="00B853B5">
            <w:pPr>
              <w:spacing w:after="200" w:line="276" w:lineRule="auto"/>
              <w:contextualSpacing/>
              <w:jc w:val="center"/>
              <w:rPr>
                <w:rFonts w:ascii="Garamond" w:hAnsi="Garamond" w:cs="Arial"/>
                <w:b/>
                <w:bCs/>
                <w:color w:val="000000"/>
                <w:lang w:val="es-419" w:eastAsia="en-US"/>
              </w:rPr>
            </w:pPr>
            <w:r w:rsidRPr="00B853B5">
              <w:rPr>
                <w:rFonts w:ascii="Garamond" w:eastAsia="Garamond" w:hAnsi="Garamond" w:cs="Garamond"/>
                <w:b/>
                <w:bCs/>
              </w:rPr>
              <w:t>Resumen red</w:t>
            </w:r>
          </w:p>
        </w:tc>
      </w:tr>
      <w:tr w:rsidR="00B853B5" w:rsidRPr="00B853B5" w14:paraId="18306FF0" w14:textId="77777777" w:rsidTr="00EF750D">
        <w:tc>
          <w:tcPr>
            <w:tcW w:w="4550" w:type="dxa"/>
          </w:tcPr>
          <w:p w14:paraId="23E15DD7"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Servidumbres inscritas</w:t>
            </w:r>
          </w:p>
        </w:tc>
        <w:tc>
          <w:tcPr>
            <w:tcW w:w="4278" w:type="dxa"/>
          </w:tcPr>
          <w:p w14:paraId="17D9C392"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8.450, 62</w:t>
            </w:r>
          </w:p>
        </w:tc>
      </w:tr>
      <w:tr w:rsidR="00B853B5" w:rsidRPr="00B853B5" w14:paraId="3380F124" w14:textId="77777777" w:rsidTr="00EF750D">
        <w:tc>
          <w:tcPr>
            <w:tcW w:w="4550" w:type="dxa"/>
          </w:tcPr>
          <w:p w14:paraId="154310FF"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Servidumbres de hecho</w:t>
            </w:r>
          </w:p>
        </w:tc>
        <w:tc>
          <w:tcPr>
            <w:tcW w:w="4278" w:type="dxa"/>
          </w:tcPr>
          <w:p w14:paraId="48EFD310"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2.850</w:t>
            </w:r>
          </w:p>
        </w:tc>
      </w:tr>
      <w:tr w:rsidR="00B853B5" w:rsidRPr="00B853B5" w14:paraId="49451153" w14:textId="77777777" w:rsidTr="00EF750D">
        <w:tc>
          <w:tcPr>
            <w:tcW w:w="4550" w:type="dxa"/>
          </w:tcPr>
          <w:p w14:paraId="74AFD43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Vía pública</w:t>
            </w:r>
          </w:p>
        </w:tc>
        <w:tc>
          <w:tcPr>
            <w:tcW w:w="4278" w:type="dxa"/>
          </w:tcPr>
          <w:p w14:paraId="186DD9B1"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64.699, 38</w:t>
            </w:r>
          </w:p>
        </w:tc>
      </w:tr>
      <w:tr w:rsidR="00B853B5" w:rsidRPr="00B853B5" w14:paraId="2A39A475" w14:textId="77777777" w:rsidTr="00EF750D">
        <w:tc>
          <w:tcPr>
            <w:tcW w:w="4550" w:type="dxa"/>
          </w:tcPr>
          <w:p w14:paraId="79B67591"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Total</w:t>
            </w:r>
          </w:p>
        </w:tc>
        <w:tc>
          <w:tcPr>
            <w:tcW w:w="4278" w:type="dxa"/>
          </w:tcPr>
          <w:p w14:paraId="67C92266"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76.000 (76 km)</w:t>
            </w:r>
          </w:p>
        </w:tc>
      </w:tr>
    </w:tbl>
    <w:p w14:paraId="0066EA95"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Asada Volcán.</w:t>
      </w:r>
    </w:p>
    <w:p w14:paraId="074213F3"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bookmarkStart w:id="61" w:name="_Toc116647323"/>
    </w:p>
    <w:p w14:paraId="0D03FF23"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Asada El Carmen </w:t>
      </w:r>
      <w:bookmarkEnd w:id="61"/>
    </w:p>
    <w:p w14:paraId="6D5FA9DC"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0A044ACC"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Ubicación de la población a beneficiar: </w:t>
      </w:r>
    </w:p>
    <w:p w14:paraId="61B63A04"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6DC975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Esta Asada se encuentra ubicada en el Carmen de Biolley, teniendo influencia en las comunidades del distrito (Bajo Coto, Linda Vista, Sábalo, El Carmen, El Campo, Altamira, Colorado) y adicionalmente se pretende incluir una más la cual se ubica a 4 kilómetros de la localidad del Carmen. </w:t>
      </w:r>
    </w:p>
    <w:p w14:paraId="77A720B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1A04369" w14:textId="77777777" w:rsidR="00B853B5" w:rsidRPr="00B853B5" w:rsidRDefault="00B853B5" w:rsidP="00B853B5">
      <w:pPr>
        <w:spacing w:after="200" w:line="240" w:lineRule="auto"/>
        <w:contextualSpacing/>
        <w:jc w:val="both"/>
        <w:rPr>
          <w:rFonts w:ascii="Garamond" w:eastAsia="Garamond" w:hAnsi="Garamond" w:cs="Garamond"/>
          <w:lang w:val="pt-BR" w:eastAsia="en-US"/>
        </w:rPr>
      </w:pPr>
      <w:r w:rsidRPr="00B853B5">
        <w:rPr>
          <w:rFonts w:ascii="Garamond" w:eastAsia="Garamond" w:hAnsi="Garamond" w:cs="Garamond"/>
          <w:lang w:val="pt-BR" w:eastAsia="en-US"/>
        </w:rPr>
        <w:t>Coordenadas: 8°59'12"N 83°01'49"W</w:t>
      </w:r>
    </w:p>
    <w:p w14:paraId="5C46EF15" w14:textId="77777777" w:rsidR="00B853B5" w:rsidRPr="00B853B5" w:rsidRDefault="00B853B5" w:rsidP="00B853B5">
      <w:pPr>
        <w:spacing w:after="200" w:line="240" w:lineRule="auto"/>
        <w:contextualSpacing/>
        <w:jc w:val="center"/>
        <w:rPr>
          <w:rFonts w:ascii="Garamond" w:eastAsia="Garamond" w:hAnsi="Garamond" w:cs="Garamond"/>
          <w:i/>
          <w:lang w:val="pt-BR" w:eastAsia="en-US"/>
        </w:rPr>
      </w:pPr>
      <w:bookmarkStart w:id="62" w:name="_Toc158296356"/>
    </w:p>
    <w:p w14:paraId="284ECD99" w14:textId="6ADC20E6"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pt-BR" w:eastAsia="en-US"/>
        </w:rPr>
        <w:t xml:space="preserve">Imagen </w:t>
      </w:r>
      <w:r w:rsidRPr="00B853B5">
        <w:rPr>
          <w:rFonts w:ascii="Garamond" w:eastAsia="Garamond" w:hAnsi="Garamond" w:cs="Garamond"/>
          <w:i/>
          <w:lang w:val="es-ES" w:eastAsia="en-US"/>
        </w:rPr>
        <w:fldChar w:fldCharType="begin"/>
      </w:r>
      <w:r w:rsidRPr="00B853B5">
        <w:rPr>
          <w:rFonts w:ascii="Garamond" w:eastAsia="Garamond" w:hAnsi="Garamond" w:cs="Garamond"/>
          <w:i/>
          <w:lang w:val="pt-BR" w:eastAsia="en-US"/>
        </w:rPr>
        <w:instrText xml:space="preserve"> SEQ Imagen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pt-BR" w:eastAsia="en-US"/>
        </w:rPr>
        <w:t>7</w:t>
      </w:r>
      <w:r w:rsidRPr="00B853B5">
        <w:rPr>
          <w:rFonts w:ascii="Garamond" w:eastAsia="Garamond" w:hAnsi="Garamond" w:cs="Garamond"/>
          <w:i/>
          <w:lang w:val="es-ES" w:eastAsia="en-US"/>
        </w:rPr>
        <w:fldChar w:fldCharType="end"/>
      </w:r>
      <w:r w:rsidRPr="00B853B5">
        <w:rPr>
          <w:rFonts w:ascii="Garamond" w:eastAsia="Garamond" w:hAnsi="Garamond" w:cs="Garamond"/>
          <w:i/>
          <w:lang w:val="pt-BR" w:eastAsia="en-US"/>
        </w:rPr>
        <w:t xml:space="preserve">. </w:t>
      </w:r>
      <w:r w:rsidRPr="00B853B5">
        <w:rPr>
          <w:rFonts w:ascii="Garamond" w:eastAsia="Garamond" w:hAnsi="Garamond" w:cs="Garamond"/>
          <w:i/>
          <w:lang w:val="es-ES" w:eastAsia="en-US"/>
        </w:rPr>
        <w:t>Ubicación geográfica de la Asada El Carmen</w:t>
      </w:r>
      <w:bookmarkEnd w:id="62"/>
    </w:p>
    <w:p w14:paraId="72323FAB" w14:textId="1D474882" w:rsidR="00B853B5" w:rsidRPr="00B853B5" w:rsidRDefault="00B853B5" w:rsidP="00B853B5">
      <w:pPr>
        <w:tabs>
          <w:tab w:val="left" w:pos="284"/>
        </w:tabs>
        <w:spacing w:after="0" w:line="240" w:lineRule="auto"/>
        <w:jc w:val="center"/>
        <w:rPr>
          <w:rFonts w:ascii="Garamond" w:eastAsia="Times New Roman" w:hAnsi="Garamond" w:cs="Arial"/>
          <w:bCs/>
          <w:color w:val="000000"/>
          <w:lang w:val="es-ES_tradnl" w:eastAsia="es-ES"/>
        </w:rPr>
      </w:pPr>
      <w:r w:rsidRPr="00B853B5">
        <w:rPr>
          <w:rFonts w:ascii="Garamond" w:eastAsia="Times New Roman" w:hAnsi="Garamond" w:cs="Times New Roman"/>
          <w:noProof/>
        </w:rPr>
        <w:drawing>
          <wp:inline distT="0" distB="0" distL="0" distR="0" wp14:anchorId="2AD7A9F5" wp14:editId="339EE31E">
            <wp:extent cx="4244340" cy="2661285"/>
            <wp:effectExtent l="0" t="0" r="3810" b="5715"/>
            <wp:docPr id="186115613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4340" cy="2661285"/>
                    </a:xfrm>
                    <a:prstGeom prst="rect">
                      <a:avLst/>
                    </a:prstGeom>
                    <a:noFill/>
                    <a:ln>
                      <a:noFill/>
                    </a:ln>
                  </pic:spPr>
                </pic:pic>
              </a:graphicData>
            </a:graphic>
          </wp:inline>
        </w:drawing>
      </w:r>
    </w:p>
    <w:p w14:paraId="0CC18234"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lastRenderedPageBreak/>
        <w:t>Fuente: Imagen capturada de Google Earth en 22/12/2023.</w:t>
      </w:r>
    </w:p>
    <w:p w14:paraId="76ACBAC3"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B85BBAE"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Condiciones de accesibilidad de la zona:</w:t>
      </w:r>
    </w:p>
    <w:p w14:paraId="347DF155"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EA00BA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acceso principal al centro de la comunidad de El Carmen de Biolley es sobre la Ruta Nacional 237, en la comunidad de Guácimo y 13 kilómetros de camino cantonal asfaltado hacia el noreste y caminos públicos de lastre en buen estado. Existen otras rutas de acceso de longitudes similares, pero de lastre en buen estado. </w:t>
      </w:r>
    </w:p>
    <w:p w14:paraId="3CEC650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53ECA970"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Condiciones socioeconómicas:</w:t>
      </w:r>
    </w:p>
    <w:p w14:paraId="392D1D1B"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12C2727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La población de estas comunidades es de bajos ingresos económicos dedicados en un alto porcentaje a las activadas agrícolas, otro pequeño porcentaje a contrataciones ocasionales diversas y del estado. </w:t>
      </w:r>
    </w:p>
    <w:p w14:paraId="48AE4161"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00F13A2"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Cuenta con un valor en el Índice de Desarrollo Social Distrital 2017 (IDS) de 43.60.</w:t>
      </w:r>
    </w:p>
    <w:p w14:paraId="3D710F2F"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3560560A"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Infraestructura existente:</w:t>
      </w:r>
    </w:p>
    <w:p w14:paraId="4BD1A0E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416FE5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Infraestructura actual: 1 fuente tipo naciente dentro del PILA, conducción y distribución en líneas de tuberías con 75 kilómetros instalados.</w:t>
      </w:r>
    </w:p>
    <w:p w14:paraId="4127EE1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33E6328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consumo promedio mensual registrado en el año 2025 fue de 10587.83 metros cúbicos y para el año 2026 el consumo promedio mensual es de 11076 metros cúbicos. </w:t>
      </w:r>
    </w:p>
    <w:p w14:paraId="212CA7FB"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934FA3C"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Se desglosa en la siguiente tabla, las propiedades registradas a nombre de la Asada El Carmen, con el desglose de área y tipo de construcción.</w:t>
      </w:r>
    </w:p>
    <w:p w14:paraId="1070B687"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F170DA4"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2733A0C"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5986C6A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280153E"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63" w:name="_Toc158296318"/>
    </w:p>
    <w:p w14:paraId="26BBA8D1" w14:textId="5F6C9A42"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14</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Propiedades inscritas de la Asada El Carmen</w:t>
      </w:r>
      <w:bookmarkEnd w:id="63"/>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122"/>
        <w:gridCol w:w="1134"/>
        <w:gridCol w:w="2410"/>
        <w:gridCol w:w="3162"/>
      </w:tblGrid>
      <w:tr w:rsidR="00B853B5" w:rsidRPr="00B853B5" w14:paraId="202664C0" w14:textId="77777777" w:rsidTr="00EF750D">
        <w:trPr>
          <w:trHeight w:val="473"/>
        </w:trPr>
        <w:tc>
          <w:tcPr>
            <w:tcW w:w="1202" w:type="pct"/>
            <w:tcBorders>
              <w:bottom w:val="single" w:sz="12" w:space="0" w:color="8EAADB"/>
            </w:tcBorders>
            <w:vAlign w:val="center"/>
          </w:tcPr>
          <w:p w14:paraId="084823BC"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Plano</w:t>
            </w:r>
          </w:p>
        </w:tc>
        <w:tc>
          <w:tcPr>
            <w:tcW w:w="642" w:type="pct"/>
            <w:tcBorders>
              <w:bottom w:val="single" w:sz="12" w:space="0" w:color="8EAADB"/>
            </w:tcBorders>
            <w:vAlign w:val="center"/>
          </w:tcPr>
          <w:p w14:paraId="528F938D"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Área en m2</w:t>
            </w:r>
          </w:p>
        </w:tc>
        <w:tc>
          <w:tcPr>
            <w:tcW w:w="1365" w:type="pct"/>
            <w:tcBorders>
              <w:bottom w:val="single" w:sz="12" w:space="0" w:color="8EAADB"/>
            </w:tcBorders>
            <w:vAlign w:val="center"/>
          </w:tcPr>
          <w:p w14:paraId="691C6129"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Construcciones</w:t>
            </w:r>
          </w:p>
        </w:tc>
        <w:tc>
          <w:tcPr>
            <w:tcW w:w="1791" w:type="pct"/>
            <w:tcBorders>
              <w:bottom w:val="single" w:sz="12" w:space="0" w:color="8EAADB"/>
            </w:tcBorders>
            <w:vAlign w:val="center"/>
          </w:tcPr>
          <w:p w14:paraId="00C8530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Líneas de conducción y distribución</w:t>
            </w:r>
          </w:p>
        </w:tc>
      </w:tr>
      <w:tr w:rsidR="00B853B5" w:rsidRPr="00B853B5" w14:paraId="1D3AC65C" w14:textId="77777777" w:rsidTr="00EF750D">
        <w:trPr>
          <w:trHeight w:val="565"/>
        </w:trPr>
        <w:tc>
          <w:tcPr>
            <w:tcW w:w="1202" w:type="pct"/>
            <w:vAlign w:val="center"/>
          </w:tcPr>
          <w:p w14:paraId="7BF3E37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P- 1556900- 2012</w:t>
            </w:r>
          </w:p>
        </w:tc>
        <w:tc>
          <w:tcPr>
            <w:tcW w:w="642" w:type="pct"/>
            <w:vAlign w:val="center"/>
          </w:tcPr>
          <w:p w14:paraId="566AC0D5"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513</w:t>
            </w:r>
          </w:p>
        </w:tc>
        <w:tc>
          <w:tcPr>
            <w:tcW w:w="1365" w:type="pct"/>
            <w:vAlign w:val="center"/>
          </w:tcPr>
          <w:p w14:paraId="58749733"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Lote con oficina y bodegas</w:t>
            </w:r>
          </w:p>
        </w:tc>
        <w:tc>
          <w:tcPr>
            <w:tcW w:w="1791" w:type="pct"/>
            <w:vAlign w:val="center"/>
          </w:tcPr>
          <w:p w14:paraId="0BD967FB"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Servidumbre en condición de hecho dentro del PILA: 3.5 kilómetros lineales.</w:t>
            </w:r>
          </w:p>
          <w:p w14:paraId="2E76C39A"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Vía pública: 64, 5 km</w:t>
            </w:r>
          </w:p>
        </w:tc>
      </w:tr>
    </w:tbl>
    <w:p w14:paraId="72D881F9"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Asada El Carmen.</w:t>
      </w:r>
    </w:p>
    <w:p w14:paraId="76FF2364"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bookmarkStart w:id="64" w:name="_Toc116647325"/>
      <w:r w:rsidRPr="00B853B5">
        <w:rPr>
          <w:rFonts w:ascii="Garamond" w:eastAsia="Garamond" w:hAnsi="Garamond" w:cs="Garamond"/>
          <w:b/>
          <w:lang w:val="es-ES" w:eastAsia="en-US"/>
        </w:rPr>
        <w:t>Asada La Amistad</w:t>
      </w:r>
      <w:bookmarkEnd w:id="64"/>
      <w:r w:rsidRPr="00B853B5">
        <w:rPr>
          <w:rFonts w:ascii="Garamond" w:eastAsia="Garamond" w:hAnsi="Garamond" w:cs="Garamond"/>
          <w:b/>
          <w:lang w:val="es-ES" w:eastAsia="en-US"/>
        </w:rPr>
        <w:t xml:space="preserve"> </w:t>
      </w:r>
    </w:p>
    <w:p w14:paraId="34FDAFEF" w14:textId="77777777" w:rsidR="00B853B5" w:rsidRPr="00B853B5" w:rsidRDefault="00B853B5" w:rsidP="00B853B5">
      <w:pPr>
        <w:spacing w:after="200" w:line="240" w:lineRule="auto"/>
        <w:contextualSpacing/>
        <w:rPr>
          <w:rFonts w:ascii="Garamond" w:eastAsia="Garamond" w:hAnsi="Garamond" w:cs="Garamond"/>
          <w:b/>
          <w:lang w:val="es-ES" w:eastAsia="en-US"/>
        </w:rPr>
      </w:pPr>
    </w:p>
    <w:p w14:paraId="0353405D" w14:textId="77777777" w:rsidR="00B853B5" w:rsidRPr="00B853B5" w:rsidRDefault="00B853B5" w:rsidP="00B853B5">
      <w:pPr>
        <w:spacing w:after="200" w:line="240" w:lineRule="auto"/>
        <w:contextualSpacing/>
        <w:rPr>
          <w:rFonts w:ascii="Garamond" w:eastAsia="Garamond" w:hAnsi="Garamond" w:cs="Garamond"/>
          <w:b/>
          <w:lang w:val="es-ES" w:eastAsia="en-US"/>
        </w:rPr>
      </w:pPr>
      <w:r w:rsidRPr="00B853B5">
        <w:rPr>
          <w:rFonts w:ascii="Garamond" w:eastAsia="Garamond" w:hAnsi="Garamond" w:cs="Garamond"/>
          <w:b/>
          <w:lang w:val="es-ES" w:eastAsia="en-US"/>
        </w:rPr>
        <w:t>Ubicación de la población a beneficiar:</w:t>
      </w:r>
    </w:p>
    <w:p w14:paraId="2BD8EFC7" w14:textId="77777777" w:rsidR="00B853B5" w:rsidRPr="00B853B5" w:rsidRDefault="00B853B5" w:rsidP="00B853B5">
      <w:pPr>
        <w:spacing w:after="200" w:line="240" w:lineRule="auto"/>
        <w:contextualSpacing/>
        <w:rPr>
          <w:rFonts w:ascii="Garamond" w:eastAsia="Garamond" w:hAnsi="Garamond" w:cs="Garamond"/>
          <w:b/>
          <w:lang w:val="es-ES" w:eastAsia="en-US"/>
        </w:rPr>
      </w:pPr>
    </w:p>
    <w:p w14:paraId="3C735D6B"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Este proyecto se encuentra ubicado en Los Naranjos de Biolley, teniendo influencia en las comunidades de Los Naranjos y Guayacán. </w:t>
      </w:r>
    </w:p>
    <w:p w14:paraId="30D39E3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169CE11" w14:textId="34A2B593" w:rsidR="00B853B5" w:rsidRDefault="00B853B5" w:rsidP="00B853B5">
      <w:pPr>
        <w:spacing w:after="200" w:line="240" w:lineRule="auto"/>
        <w:contextualSpacing/>
        <w:jc w:val="both"/>
        <w:rPr>
          <w:rFonts w:ascii="Garamond" w:eastAsia="Garamond" w:hAnsi="Garamond" w:cs="Garamond"/>
          <w:lang w:val="pt-BR" w:eastAsia="en-US"/>
        </w:rPr>
      </w:pPr>
      <w:r w:rsidRPr="00B853B5">
        <w:rPr>
          <w:rFonts w:ascii="Garamond" w:eastAsia="Garamond" w:hAnsi="Garamond" w:cs="Garamond"/>
          <w:lang w:val="pt-BR" w:eastAsia="en-US"/>
        </w:rPr>
        <w:t>Coordenadas: 9°00'55"N 83°03'50"W</w:t>
      </w:r>
    </w:p>
    <w:p w14:paraId="611C9F05" w14:textId="220D6A25" w:rsidR="00196828" w:rsidRDefault="00196828" w:rsidP="00B853B5">
      <w:pPr>
        <w:spacing w:after="200" w:line="240" w:lineRule="auto"/>
        <w:contextualSpacing/>
        <w:jc w:val="both"/>
        <w:rPr>
          <w:rFonts w:ascii="Garamond" w:eastAsia="Garamond" w:hAnsi="Garamond" w:cs="Garamond"/>
          <w:lang w:val="pt-BR" w:eastAsia="en-US"/>
        </w:rPr>
      </w:pPr>
    </w:p>
    <w:p w14:paraId="77ADD36C" w14:textId="1F9EDA25" w:rsidR="00196828" w:rsidRDefault="00196828" w:rsidP="00B853B5">
      <w:pPr>
        <w:spacing w:after="200" w:line="240" w:lineRule="auto"/>
        <w:contextualSpacing/>
        <w:jc w:val="both"/>
        <w:rPr>
          <w:rFonts w:ascii="Garamond" w:eastAsia="Garamond" w:hAnsi="Garamond" w:cs="Garamond"/>
          <w:lang w:val="pt-BR" w:eastAsia="en-US"/>
        </w:rPr>
      </w:pPr>
    </w:p>
    <w:p w14:paraId="2C239197" w14:textId="35F81EED" w:rsidR="00196828" w:rsidRDefault="00196828" w:rsidP="00B853B5">
      <w:pPr>
        <w:spacing w:after="200" w:line="240" w:lineRule="auto"/>
        <w:contextualSpacing/>
        <w:jc w:val="both"/>
        <w:rPr>
          <w:rFonts w:ascii="Garamond" w:eastAsia="Garamond" w:hAnsi="Garamond" w:cs="Garamond"/>
          <w:lang w:val="pt-BR" w:eastAsia="en-US"/>
        </w:rPr>
      </w:pPr>
    </w:p>
    <w:p w14:paraId="0AC73F5F" w14:textId="77777777" w:rsidR="00196828" w:rsidRPr="00B853B5" w:rsidRDefault="00196828" w:rsidP="00B853B5">
      <w:pPr>
        <w:spacing w:after="200" w:line="240" w:lineRule="auto"/>
        <w:contextualSpacing/>
        <w:jc w:val="both"/>
        <w:rPr>
          <w:rFonts w:ascii="Garamond" w:eastAsia="Garamond" w:hAnsi="Garamond" w:cs="Garamond"/>
          <w:lang w:val="pt-BR" w:eastAsia="en-US"/>
        </w:rPr>
      </w:pPr>
    </w:p>
    <w:p w14:paraId="13134875" w14:textId="6CC63245"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65" w:name="_Toc158296357"/>
      <w:r w:rsidRPr="00B853B5">
        <w:rPr>
          <w:rFonts w:ascii="Garamond" w:eastAsia="Garamond" w:hAnsi="Garamond" w:cs="Garamond"/>
          <w:i/>
          <w:lang w:val="pt-BR" w:eastAsia="en-US"/>
        </w:rPr>
        <w:lastRenderedPageBreak/>
        <w:t xml:space="preserve">Imagen </w:t>
      </w:r>
      <w:r w:rsidRPr="00B853B5">
        <w:rPr>
          <w:rFonts w:ascii="Garamond" w:eastAsia="Garamond" w:hAnsi="Garamond" w:cs="Garamond"/>
          <w:i/>
          <w:lang w:val="es-ES" w:eastAsia="en-US"/>
        </w:rPr>
        <w:fldChar w:fldCharType="begin"/>
      </w:r>
      <w:r w:rsidRPr="00B853B5">
        <w:rPr>
          <w:rFonts w:ascii="Garamond" w:eastAsia="Garamond" w:hAnsi="Garamond" w:cs="Garamond"/>
          <w:i/>
          <w:lang w:val="pt-BR" w:eastAsia="en-US"/>
        </w:rPr>
        <w:instrText xml:space="preserve"> SEQ Imagen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pt-BR" w:eastAsia="en-US"/>
        </w:rPr>
        <w:t>8</w:t>
      </w:r>
      <w:r w:rsidRPr="00B853B5">
        <w:rPr>
          <w:rFonts w:ascii="Garamond" w:eastAsia="Garamond" w:hAnsi="Garamond" w:cs="Garamond"/>
          <w:i/>
          <w:lang w:val="es-ES" w:eastAsia="en-US"/>
        </w:rPr>
        <w:fldChar w:fldCharType="end"/>
      </w:r>
      <w:r w:rsidRPr="00B853B5">
        <w:rPr>
          <w:rFonts w:ascii="Garamond" w:eastAsia="Garamond" w:hAnsi="Garamond" w:cs="Garamond"/>
          <w:i/>
          <w:lang w:val="pt-BR" w:eastAsia="en-US"/>
        </w:rPr>
        <w:t xml:space="preserve">. </w:t>
      </w:r>
      <w:r w:rsidRPr="00B853B5">
        <w:rPr>
          <w:rFonts w:ascii="Garamond" w:eastAsia="Garamond" w:hAnsi="Garamond" w:cs="Garamond"/>
          <w:i/>
          <w:lang w:val="es-ES" w:eastAsia="en-US"/>
        </w:rPr>
        <w:t>Ubicación geográfica de la Asada La Amistad</w:t>
      </w:r>
      <w:bookmarkEnd w:id="65"/>
    </w:p>
    <w:p w14:paraId="65CF61A8" w14:textId="76E3C485" w:rsidR="00B853B5" w:rsidRPr="00B853B5" w:rsidRDefault="00B853B5" w:rsidP="00B853B5">
      <w:pPr>
        <w:spacing w:after="0" w:line="240" w:lineRule="auto"/>
        <w:jc w:val="center"/>
        <w:rPr>
          <w:rFonts w:ascii="Garamond" w:eastAsia="Times New Roman" w:hAnsi="Garamond" w:cs="Times New Roman"/>
          <w:lang w:val="es-MX" w:eastAsia="es-ES"/>
        </w:rPr>
      </w:pPr>
      <w:r w:rsidRPr="00B853B5">
        <w:rPr>
          <w:rFonts w:ascii="Garamond" w:eastAsia="Times New Roman" w:hAnsi="Garamond" w:cs="Times New Roman"/>
          <w:noProof/>
        </w:rPr>
        <w:drawing>
          <wp:inline distT="0" distB="0" distL="0" distR="0" wp14:anchorId="2E9FE104" wp14:editId="7C0214C5">
            <wp:extent cx="3364230" cy="3029585"/>
            <wp:effectExtent l="0" t="0" r="7620" b="0"/>
            <wp:docPr id="73866187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64230" cy="3029585"/>
                    </a:xfrm>
                    <a:prstGeom prst="rect">
                      <a:avLst/>
                    </a:prstGeom>
                    <a:noFill/>
                    <a:ln>
                      <a:noFill/>
                    </a:ln>
                  </pic:spPr>
                </pic:pic>
              </a:graphicData>
            </a:graphic>
          </wp:inline>
        </w:drawing>
      </w:r>
    </w:p>
    <w:p w14:paraId="5FE249DD"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t>Fuente: Imagen capturada de Google Earth en 22/12/2023.</w:t>
      </w:r>
    </w:p>
    <w:p w14:paraId="07388957" w14:textId="77777777" w:rsidR="00B853B5" w:rsidRPr="00B853B5" w:rsidRDefault="00B853B5" w:rsidP="00B853B5">
      <w:pPr>
        <w:spacing w:after="200" w:line="240" w:lineRule="auto"/>
        <w:contextualSpacing/>
        <w:rPr>
          <w:rFonts w:ascii="Garamond" w:eastAsia="Garamond" w:hAnsi="Garamond" w:cs="Garamond"/>
          <w:b/>
          <w:lang w:val="es-ES" w:eastAsia="en-US"/>
        </w:rPr>
      </w:pPr>
    </w:p>
    <w:p w14:paraId="1EF99138" w14:textId="77777777" w:rsidR="00B853B5" w:rsidRPr="00B853B5" w:rsidRDefault="00B853B5" w:rsidP="00B853B5">
      <w:pPr>
        <w:spacing w:after="200" w:line="240" w:lineRule="auto"/>
        <w:contextualSpacing/>
        <w:rPr>
          <w:rFonts w:ascii="Garamond" w:eastAsia="Garamond" w:hAnsi="Garamond" w:cs="Garamond"/>
          <w:b/>
          <w:lang w:val="es-ES" w:eastAsia="en-US"/>
        </w:rPr>
      </w:pPr>
      <w:r w:rsidRPr="00B853B5">
        <w:rPr>
          <w:rFonts w:ascii="Garamond" w:eastAsia="Garamond" w:hAnsi="Garamond" w:cs="Garamond"/>
          <w:b/>
          <w:lang w:val="es-ES" w:eastAsia="en-US"/>
        </w:rPr>
        <w:t>Condiciones de accesibilidad de la zona:</w:t>
      </w:r>
    </w:p>
    <w:p w14:paraId="6744D72D" w14:textId="77777777" w:rsidR="00B853B5" w:rsidRPr="00B853B5" w:rsidRDefault="00B853B5" w:rsidP="00B853B5">
      <w:pPr>
        <w:spacing w:after="200" w:line="240" w:lineRule="auto"/>
        <w:contextualSpacing/>
        <w:rPr>
          <w:rFonts w:ascii="Garamond" w:eastAsia="Garamond" w:hAnsi="Garamond" w:cs="Garamond"/>
          <w:b/>
          <w:lang w:val="es-ES" w:eastAsia="en-US"/>
        </w:rPr>
      </w:pPr>
    </w:p>
    <w:p w14:paraId="56FFBE46"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acceso principal al centro de la comunidad de Los Naranjos de Biolley es sobre la Ruta Nacional 237, en la comunidad de Guácimo y 3 kilómetros de camino cantonal asfaltado hacia el este y 7 kilómetros de caminos públicos de lastre en buen estado. Existen otras rutas de acceso de longitudes similares, pero de lastre en buen estado. </w:t>
      </w:r>
    </w:p>
    <w:p w14:paraId="2C3376F8" w14:textId="77777777" w:rsidR="00B853B5" w:rsidRPr="00B853B5" w:rsidRDefault="00B853B5" w:rsidP="00B853B5">
      <w:pPr>
        <w:tabs>
          <w:tab w:val="left" w:pos="284"/>
        </w:tabs>
        <w:spacing w:after="200" w:line="240" w:lineRule="auto"/>
        <w:ind w:left="720"/>
        <w:contextualSpacing/>
        <w:rPr>
          <w:rFonts w:ascii="Garamond" w:hAnsi="Garamond" w:cs="Arial"/>
          <w:b/>
          <w:bCs/>
          <w:color w:val="000000"/>
          <w:lang w:val="es-ES" w:eastAsia="en-US"/>
        </w:rPr>
      </w:pPr>
    </w:p>
    <w:p w14:paraId="4D67E561" w14:textId="77777777" w:rsidR="00B853B5" w:rsidRPr="00B853B5" w:rsidRDefault="00B853B5" w:rsidP="00B853B5">
      <w:pPr>
        <w:spacing w:after="200" w:line="240" w:lineRule="auto"/>
        <w:contextualSpacing/>
        <w:rPr>
          <w:rFonts w:ascii="Garamond" w:eastAsia="Garamond" w:hAnsi="Garamond" w:cs="Garamond"/>
          <w:b/>
          <w:lang w:val="es-ES" w:eastAsia="en-US"/>
        </w:rPr>
      </w:pPr>
      <w:r w:rsidRPr="00B853B5">
        <w:rPr>
          <w:rFonts w:ascii="Garamond" w:eastAsia="Garamond" w:hAnsi="Garamond" w:cs="Garamond"/>
          <w:b/>
          <w:lang w:val="es-ES" w:eastAsia="en-US"/>
        </w:rPr>
        <w:t>Condiciones socioeconómicas:</w:t>
      </w:r>
    </w:p>
    <w:p w14:paraId="25D7998D" w14:textId="77777777" w:rsidR="00B853B5" w:rsidRPr="00B853B5" w:rsidRDefault="00B853B5" w:rsidP="00B853B5">
      <w:pPr>
        <w:spacing w:after="200" w:line="240" w:lineRule="auto"/>
        <w:contextualSpacing/>
        <w:rPr>
          <w:rFonts w:ascii="Garamond" w:eastAsia="Garamond" w:hAnsi="Garamond" w:cs="Garamond"/>
          <w:b/>
          <w:lang w:val="es-ES" w:eastAsia="en-US"/>
        </w:rPr>
      </w:pPr>
    </w:p>
    <w:p w14:paraId="5B2A6B7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La población de estas comunidades es de bajos ingresos económicos dedicados en un alto porcentaje a las activadas agrícolas y otro pequeño porcentaje a contrataciones ocasionales diversas y del estado. </w:t>
      </w:r>
    </w:p>
    <w:p w14:paraId="056AC69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C519EC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Cuenta con un valor en el Índice de Desarrollo Social Distrital 2017 (IDS) de 43.60.</w:t>
      </w:r>
    </w:p>
    <w:p w14:paraId="1245A8F7"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56FCFB1"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Infraestructura existente:</w:t>
      </w:r>
    </w:p>
    <w:p w14:paraId="7D7F8978"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20C9CE6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Infraestructura actual: 1 naciente de captación, conducción y distribución en líneas de tuberías con 22 kilómetros instalados.</w:t>
      </w:r>
    </w:p>
    <w:p w14:paraId="79014C51"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1D9B104"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consumo promedio mensual en los años 2025-2026 es de 29808 metros cúbicos. </w:t>
      </w:r>
    </w:p>
    <w:p w14:paraId="5768CE61"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6AC2369A"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desglosa en la siguiente tabla, la propiedad registrada a nombre de la Asada La Amistad, con el desglose del monto pagado por la misma. </w:t>
      </w:r>
    </w:p>
    <w:p w14:paraId="37B5AA3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F4F7B2F" w14:textId="3E0DCC3A" w:rsidR="00B853B5" w:rsidRPr="00B853B5" w:rsidRDefault="00B853B5" w:rsidP="00B853B5">
      <w:pPr>
        <w:spacing w:after="200" w:line="240" w:lineRule="auto"/>
        <w:contextualSpacing/>
        <w:jc w:val="center"/>
        <w:rPr>
          <w:rFonts w:ascii="Garamond" w:eastAsia="Garamond" w:hAnsi="Garamond" w:cs="Garamond"/>
          <w:i/>
          <w:lang w:val="es-ES" w:eastAsia="en-US"/>
        </w:rPr>
      </w:pPr>
      <w:bookmarkStart w:id="66" w:name="_Toc158296319"/>
      <w:r w:rsidRPr="00B853B5">
        <w:rPr>
          <w:rFonts w:ascii="Garamond" w:eastAsia="Garamond" w:hAnsi="Garamond" w:cs="Garamond"/>
          <w:i/>
          <w:lang w:val="es-ES" w:eastAsia="en-US"/>
        </w:rPr>
        <w:t xml:space="preserve">Tabla </w:t>
      </w:r>
      <w:r w:rsidRPr="00B853B5">
        <w:rPr>
          <w:rFonts w:ascii="Garamond" w:eastAsia="Garamond" w:hAnsi="Garamond" w:cs="Garamond"/>
          <w:i/>
          <w:lang w:val="es-ES" w:eastAsia="en-US"/>
        </w:rPr>
        <w:fldChar w:fldCharType="begin"/>
      </w:r>
      <w:r w:rsidRPr="00B853B5">
        <w:rPr>
          <w:rFonts w:ascii="Garamond" w:eastAsia="Garamond" w:hAnsi="Garamond" w:cs="Garamond"/>
          <w:i/>
          <w:lang w:val="es-ES" w:eastAsia="en-US"/>
        </w:rPr>
        <w:instrText xml:space="preserve"> SEQ Tabla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es-ES" w:eastAsia="en-US"/>
        </w:rPr>
        <w:t>15</w:t>
      </w:r>
      <w:r w:rsidRPr="00B853B5">
        <w:rPr>
          <w:rFonts w:ascii="Garamond" w:eastAsia="Garamond" w:hAnsi="Garamond" w:cs="Garamond"/>
          <w:i/>
          <w:lang w:val="es-ES" w:eastAsia="en-US"/>
        </w:rPr>
        <w:fldChar w:fldCharType="end"/>
      </w:r>
      <w:r w:rsidRPr="00B853B5">
        <w:rPr>
          <w:rFonts w:ascii="Garamond" w:eastAsia="Garamond" w:hAnsi="Garamond" w:cs="Garamond"/>
          <w:i/>
          <w:lang w:val="es-ES" w:eastAsia="en-US"/>
        </w:rPr>
        <w:t>. Propiedades inscritas de la Asada La Amistad</w:t>
      </w:r>
      <w:bookmarkEnd w:id="66"/>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920"/>
        <w:gridCol w:w="3030"/>
        <w:gridCol w:w="2878"/>
      </w:tblGrid>
      <w:tr w:rsidR="00B853B5" w:rsidRPr="00B853B5" w14:paraId="20E2161B" w14:textId="77777777" w:rsidTr="00EF750D">
        <w:trPr>
          <w:trHeight w:val="473"/>
        </w:trPr>
        <w:tc>
          <w:tcPr>
            <w:tcW w:w="1654" w:type="pct"/>
            <w:tcBorders>
              <w:bottom w:val="single" w:sz="12" w:space="0" w:color="8EAADB"/>
            </w:tcBorders>
            <w:vAlign w:val="center"/>
          </w:tcPr>
          <w:p w14:paraId="3735A24D"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Plano</w:t>
            </w:r>
          </w:p>
        </w:tc>
        <w:tc>
          <w:tcPr>
            <w:tcW w:w="1716" w:type="pct"/>
            <w:tcBorders>
              <w:bottom w:val="single" w:sz="12" w:space="0" w:color="8EAADB"/>
            </w:tcBorders>
            <w:vAlign w:val="center"/>
          </w:tcPr>
          <w:p w14:paraId="1FA030DA"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Inscripción</w:t>
            </w:r>
          </w:p>
        </w:tc>
        <w:tc>
          <w:tcPr>
            <w:tcW w:w="1630" w:type="pct"/>
            <w:tcBorders>
              <w:bottom w:val="single" w:sz="12" w:space="0" w:color="8EAADB"/>
            </w:tcBorders>
            <w:vAlign w:val="center"/>
          </w:tcPr>
          <w:p w14:paraId="5F7EDC9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Monto en colones</w:t>
            </w:r>
          </w:p>
        </w:tc>
      </w:tr>
      <w:tr w:rsidR="00B853B5" w:rsidRPr="00B853B5" w14:paraId="24BC36D7" w14:textId="77777777" w:rsidTr="00EF750D">
        <w:trPr>
          <w:trHeight w:val="565"/>
        </w:trPr>
        <w:tc>
          <w:tcPr>
            <w:tcW w:w="1654" w:type="pct"/>
            <w:vAlign w:val="center"/>
          </w:tcPr>
          <w:p w14:paraId="1C76BD96"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P- 0024256- 1992</w:t>
            </w:r>
          </w:p>
        </w:tc>
        <w:tc>
          <w:tcPr>
            <w:tcW w:w="1716" w:type="pct"/>
            <w:vAlign w:val="center"/>
          </w:tcPr>
          <w:p w14:paraId="1253EAAD"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26- mayo- 2015</w:t>
            </w:r>
          </w:p>
        </w:tc>
        <w:tc>
          <w:tcPr>
            <w:tcW w:w="1630" w:type="pct"/>
            <w:vAlign w:val="center"/>
          </w:tcPr>
          <w:p w14:paraId="385EB7C1" w14:textId="77777777" w:rsidR="00B853B5" w:rsidRPr="00B853B5" w:rsidRDefault="00B853B5" w:rsidP="00B853B5">
            <w:pPr>
              <w:spacing w:after="200" w:line="276" w:lineRule="auto"/>
              <w:contextualSpacing/>
              <w:jc w:val="center"/>
              <w:rPr>
                <w:rFonts w:ascii="Garamond" w:eastAsia="Garamond" w:hAnsi="Garamond" w:cs="Garamond"/>
              </w:rPr>
            </w:pPr>
            <w:r w:rsidRPr="00B853B5">
              <w:rPr>
                <w:rFonts w:ascii="Garamond" w:eastAsia="Garamond" w:hAnsi="Garamond" w:cs="Garamond"/>
              </w:rPr>
              <w:t>3.426.503</w:t>
            </w:r>
          </w:p>
        </w:tc>
      </w:tr>
    </w:tbl>
    <w:p w14:paraId="639093C5" w14:textId="77777777"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lang w:val="es-ES" w:eastAsia="en-US"/>
        </w:rPr>
        <w:lastRenderedPageBreak/>
        <w:t>Fuente: Asada La Amistad</w:t>
      </w:r>
    </w:p>
    <w:p w14:paraId="3C81D937"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C76D4FE"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Asada Helechales-Potrero Grande</w:t>
      </w:r>
    </w:p>
    <w:p w14:paraId="55D5EF16"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0B41FE88"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Ubicación de la población a beneficiar:</w:t>
      </w:r>
    </w:p>
    <w:p w14:paraId="7DCE4B38"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6E289CC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Esta Asada se encuentra ubicada en el distrito de Potrero Grande centro, teniendo influencia en comunidades de Tres Colinas, Helechales, La Puna, Los Ángeles, Pueblo Nuevo, El Trébol, Alto La Cruz y Potrero Grande. </w:t>
      </w:r>
      <w:bookmarkStart w:id="67" w:name="_Hlk131181901"/>
    </w:p>
    <w:p w14:paraId="27144F3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5130F795" w14:textId="77777777" w:rsidR="00B853B5" w:rsidRPr="00B853B5" w:rsidRDefault="00B853B5" w:rsidP="00B853B5">
      <w:pPr>
        <w:spacing w:after="200" w:line="240" w:lineRule="auto"/>
        <w:contextualSpacing/>
        <w:jc w:val="both"/>
        <w:rPr>
          <w:rFonts w:ascii="Garamond" w:eastAsia="Garamond" w:hAnsi="Garamond" w:cs="Garamond"/>
          <w:lang w:val="pt-BR" w:eastAsia="en-US"/>
        </w:rPr>
      </w:pPr>
      <w:r w:rsidRPr="00B853B5">
        <w:rPr>
          <w:rFonts w:ascii="Garamond" w:eastAsia="Garamond" w:hAnsi="Garamond" w:cs="Garamond"/>
          <w:lang w:val="pt-BR" w:eastAsia="en-US"/>
        </w:rPr>
        <w:t xml:space="preserve">Coordenadas: </w:t>
      </w:r>
      <w:bookmarkEnd w:id="67"/>
      <w:r w:rsidRPr="00B853B5">
        <w:rPr>
          <w:rFonts w:ascii="Garamond" w:eastAsia="Garamond" w:hAnsi="Garamond" w:cs="Garamond"/>
          <w:lang w:val="pt-BR" w:eastAsia="en-US"/>
        </w:rPr>
        <w:t>9°01'16"N 83°09'41"W</w:t>
      </w:r>
    </w:p>
    <w:p w14:paraId="5E96E4D8" w14:textId="77777777" w:rsidR="00B853B5" w:rsidRPr="00B853B5" w:rsidRDefault="00B853B5" w:rsidP="00B853B5">
      <w:pPr>
        <w:spacing w:after="200" w:line="240" w:lineRule="auto"/>
        <w:contextualSpacing/>
        <w:jc w:val="center"/>
        <w:rPr>
          <w:rFonts w:ascii="Garamond" w:eastAsia="Garamond" w:hAnsi="Garamond" w:cs="Garamond"/>
          <w:i/>
          <w:lang w:val="pt-BR" w:eastAsia="en-US"/>
        </w:rPr>
      </w:pPr>
      <w:bookmarkStart w:id="68" w:name="_Toc158296358"/>
    </w:p>
    <w:p w14:paraId="5DD62AE1" w14:textId="255A824C" w:rsidR="00B853B5" w:rsidRPr="00B853B5" w:rsidRDefault="00B853B5" w:rsidP="00B853B5">
      <w:pPr>
        <w:spacing w:after="200" w:line="240" w:lineRule="auto"/>
        <w:contextualSpacing/>
        <w:jc w:val="center"/>
        <w:rPr>
          <w:rFonts w:ascii="Garamond" w:hAnsi="Garamond" w:cs="Arial"/>
          <w:b/>
          <w:bCs/>
          <w:lang w:val="es-ES" w:eastAsia="en-US"/>
        </w:rPr>
      </w:pPr>
      <w:r w:rsidRPr="00B853B5">
        <w:rPr>
          <w:rFonts w:ascii="Garamond" w:eastAsia="Garamond" w:hAnsi="Garamond" w:cs="Garamond"/>
          <w:i/>
          <w:lang w:val="pt-BR" w:eastAsia="en-US"/>
        </w:rPr>
        <w:t xml:space="preserve">Imagen </w:t>
      </w:r>
      <w:r w:rsidRPr="00B853B5">
        <w:rPr>
          <w:rFonts w:ascii="Garamond" w:eastAsia="Garamond" w:hAnsi="Garamond" w:cs="Garamond"/>
          <w:i/>
          <w:lang w:val="es-ES" w:eastAsia="en-US"/>
        </w:rPr>
        <w:fldChar w:fldCharType="begin"/>
      </w:r>
      <w:r w:rsidRPr="00B853B5">
        <w:rPr>
          <w:rFonts w:ascii="Garamond" w:eastAsia="Garamond" w:hAnsi="Garamond" w:cs="Garamond"/>
          <w:i/>
          <w:lang w:val="pt-BR" w:eastAsia="en-US"/>
        </w:rPr>
        <w:instrText xml:space="preserve"> SEQ Imagen \* ARABIC </w:instrText>
      </w:r>
      <w:r w:rsidRPr="00B853B5">
        <w:rPr>
          <w:rFonts w:ascii="Garamond" w:eastAsia="Garamond" w:hAnsi="Garamond" w:cs="Garamond"/>
          <w:i/>
          <w:lang w:val="es-ES" w:eastAsia="en-US"/>
        </w:rPr>
        <w:fldChar w:fldCharType="separate"/>
      </w:r>
      <w:r w:rsidR="003D5694">
        <w:rPr>
          <w:rFonts w:ascii="Garamond" w:eastAsia="Garamond" w:hAnsi="Garamond" w:cs="Garamond"/>
          <w:i/>
          <w:noProof/>
          <w:lang w:val="pt-BR" w:eastAsia="en-US"/>
        </w:rPr>
        <w:t>9</w:t>
      </w:r>
      <w:r w:rsidRPr="00B853B5">
        <w:rPr>
          <w:rFonts w:ascii="Garamond" w:eastAsia="Garamond" w:hAnsi="Garamond" w:cs="Garamond"/>
          <w:i/>
          <w:lang w:val="es-ES" w:eastAsia="en-US"/>
        </w:rPr>
        <w:fldChar w:fldCharType="end"/>
      </w:r>
      <w:r w:rsidRPr="00B853B5">
        <w:rPr>
          <w:rFonts w:ascii="Garamond" w:eastAsia="Garamond" w:hAnsi="Garamond" w:cs="Garamond"/>
          <w:i/>
          <w:lang w:val="pt-BR" w:eastAsia="en-US"/>
        </w:rPr>
        <w:t xml:space="preserve">. </w:t>
      </w:r>
      <w:r w:rsidRPr="00B853B5">
        <w:rPr>
          <w:rFonts w:ascii="Garamond" w:eastAsia="Garamond" w:hAnsi="Garamond" w:cs="Garamond"/>
          <w:i/>
          <w:lang w:val="es-ES" w:eastAsia="en-US"/>
        </w:rPr>
        <w:t>Ubicación geográfica de la Asada Helechales y Potrero Grande</w:t>
      </w:r>
      <w:bookmarkEnd w:id="68"/>
    </w:p>
    <w:p w14:paraId="7C37CF9A" w14:textId="780DC7D8" w:rsidR="00B853B5" w:rsidRPr="00B853B5" w:rsidRDefault="00B853B5" w:rsidP="00B853B5">
      <w:pPr>
        <w:tabs>
          <w:tab w:val="left" w:pos="284"/>
        </w:tabs>
        <w:spacing w:after="0" w:line="240" w:lineRule="auto"/>
        <w:jc w:val="center"/>
        <w:rPr>
          <w:rFonts w:ascii="Garamond" w:eastAsia="Times New Roman" w:hAnsi="Garamond" w:cs="Arial"/>
          <w:bCs/>
          <w:color w:val="000000"/>
          <w:lang w:val="es-ES_tradnl" w:eastAsia="es-ES"/>
        </w:rPr>
      </w:pPr>
      <w:r w:rsidRPr="00B853B5">
        <w:rPr>
          <w:rFonts w:ascii="Garamond" w:eastAsia="Times New Roman" w:hAnsi="Garamond" w:cs="Times New Roman"/>
          <w:noProof/>
        </w:rPr>
        <w:drawing>
          <wp:inline distT="0" distB="0" distL="0" distR="0" wp14:anchorId="46881518" wp14:editId="592EEB82">
            <wp:extent cx="4298950" cy="2893060"/>
            <wp:effectExtent l="0" t="0" r="6350" b="2540"/>
            <wp:docPr id="122124219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98950" cy="2893060"/>
                    </a:xfrm>
                    <a:prstGeom prst="rect">
                      <a:avLst/>
                    </a:prstGeom>
                    <a:noFill/>
                    <a:ln>
                      <a:noFill/>
                    </a:ln>
                  </pic:spPr>
                </pic:pic>
              </a:graphicData>
            </a:graphic>
          </wp:inline>
        </w:drawing>
      </w:r>
    </w:p>
    <w:p w14:paraId="04244D4C" w14:textId="77777777" w:rsidR="00B853B5" w:rsidRPr="00B853B5" w:rsidRDefault="00B853B5" w:rsidP="00B853B5">
      <w:pPr>
        <w:spacing w:after="0" w:line="240" w:lineRule="auto"/>
        <w:jc w:val="center"/>
        <w:rPr>
          <w:rFonts w:ascii="Garamond" w:eastAsia="Times New Roman" w:hAnsi="Garamond" w:cs="Arial"/>
          <w:i/>
          <w:lang w:val="es-ES_tradnl" w:eastAsia="es-ES"/>
        </w:rPr>
      </w:pPr>
      <w:r w:rsidRPr="00B853B5">
        <w:rPr>
          <w:rFonts w:ascii="Garamond" w:eastAsia="Garamond" w:hAnsi="Garamond" w:cs="Garamond"/>
          <w:i/>
          <w:lang w:val="es-ES_tradnl" w:eastAsia="es-ES"/>
        </w:rPr>
        <w:t>Fuente: Imagen capturada de Google Earth en 22/12/2023</w:t>
      </w:r>
      <w:r w:rsidRPr="00B853B5">
        <w:rPr>
          <w:rFonts w:ascii="Garamond" w:eastAsia="Times New Roman" w:hAnsi="Garamond" w:cs="Arial"/>
          <w:i/>
          <w:lang w:val="es-ES_tradnl" w:eastAsia="es-ES"/>
        </w:rPr>
        <w:t>.</w:t>
      </w:r>
    </w:p>
    <w:p w14:paraId="7FB603F1"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04C2429E"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2B8269DD"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Condiciones de accesibilidad de la zona:</w:t>
      </w:r>
    </w:p>
    <w:p w14:paraId="4523FB2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06800E2"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Al distrito de Potrero Grande de Buenos Aires lo atraviesan las siguientes rutas nacionales de carretera: Ruta Nacional 2, Ruta Nacional 237, Ruta Nacional 246 y Ruta Nacional 625.</w:t>
      </w:r>
    </w:p>
    <w:p w14:paraId="00F6AA8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1F8E160"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acceso principal al centro de Potrero Grande es sobre la Ruta Nacional 237 y 5 kilómetros de camino cantonal asfaltado al noreste. Existen otras rutas de acceso de longitudes similares, pero de lastre en buen estado. </w:t>
      </w:r>
    </w:p>
    <w:p w14:paraId="13EADBAC" w14:textId="77777777" w:rsidR="00B853B5" w:rsidRPr="00B853B5" w:rsidRDefault="00B853B5" w:rsidP="00B853B5">
      <w:pPr>
        <w:tabs>
          <w:tab w:val="left" w:pos="284"/>
        </w:tabs>
        <w:spacing w:after="200" w:line="240" w:lineRule="auto"/>
        <w:ind w:left="720"/>
        <w:contextualSpacing/>
        <w:rPr>
          <w:rFonts w:ascii="Garamond" w:hAnsi="Garamond" w:cs="Arial"/>
          <w:b/>
          <w:bCs/>
          <w:color w:val="000000"/>
          <w:lang w:val="es-ES" w:eastAsia="en-US"/>
        </w:rPr>
      </w:pPr>
    </w:p>
    <w:p w14:paraId="33FA1284"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Condiciones socioeconómicas:</w:t>
      </w:r>
    </w:p>
    <w:p w14:paraId="1BA5168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75EF11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La población de estas comunidades es de bajos ingresos económicos dedicados en un alto porcentaje a las actividades agrícolas y otro pequeño porcentaje a contrataciones ocasionales diversas y del estado. </w:t>
      </w:r>
    </w:p>
    <w:p w14:paraId="00538A4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FEBDD1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Cuenta con un valor en el Índice de Desarrollo Social Distrital 2017 (IDS) de 34.04 (para el área ubicada en el distrito Potrero Grande) y 43.60 (para el área ubicada en el distrito Biolley).</w:t>
      </w:r>
    </w:p>
    <w:p w14:paraId="368D3B52" w14:textId="2EC5F2EC" w:rsidR="00B853B5" w:rsidRDefault="00B853B5" w:rsidP="00B853B5">
      <w:pPr>
        <w:spacing w:after="200" w:line="240" w:lineRule="auto"/>
        <w:contextualSpacing/>
        <w:jc w:val="both"/>
        <w:rPr>
          <w:rFonts w:ascii="Garamond" w:eastAsia="Garamond" w:hAnsi="Garamond" w:cs="Garamond"/>
          <w:b/>
          <w:lang w:val="es-ES" w:eastAsia="en-US"/>
        </w:rPr>
      </w:pPr>
    </w:p>
    <w:p w14:paraId="7B050420" w14:textId="77777777" w:rsidR="00196828" w:rsidRPr="00B853B5" w:rsidRDefault="00196828" w:rsidP="00B853B5">
      <w:pPr>
        <w:spacing w:after="200" w:line="240" w:lineRule="auto"/>
        <w:contextualSpacing/>
        <w:jc w:val="both"/>
        <w:rPr>
          <w:rFonts w:ascii="Garamond" w:eastAsia="Garamond" w:hAnsi="Garamond" w:cs="Garamond"/>
          <w:b/>
          <w:lang w:val="es-ES" w:eastAsia="en-US"/>
        </w:rPr>
      </w:pPr>
    </w:p>
    <w:p w14:paraId="63298A59"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lastRenderedPageBreak/>
        <w:t>Infraestructura existente:</w:t>
      </w:r>
    </w:p>
    <w:p w14:paraId="4BAD5A7D"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475454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Infraestructura actual: 6 fuentes de captación, 4 de ellas nacientes y 2 tomas de quebrada, conducción y distribución en líneas de tuberías con 44.5 kilómetros instalados.</w:t>
      </w:r>
    </w:p>
    <w:p w14:paraId="31F07749"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711CFCF7"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consumo promedio mensual en los años 2025-2026 es de 14000 metros cúbicos. </w:t>
      </w:r>
    </w:p>
    <w:p w14:paraId="00217A95"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1F685A82"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desglosa en la siguiente tabla, la propiedad registrada a nombre de la Asada Helechales y Potrero Grande, con el desglose del área, ubicación y el tipo de construcciones.  </w:t>
      </w:r>
    </w:p>
    <w:p w14:paraId="0164DF6F"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15DC5BA6" w14:textId="33622B5B" w:rsidR="00B853B5" w:rsidRPr="00B853B5" w:rsidRDefault="00B853B5" w:rsidP="00B853B5">
      <w:pPr>
        <w:spacing w:after="0" w:line="240" w:lineRule="auto"/>
        <w:jc w:val="center"/>
        <w:rPr>
          <w:rFonts w:ascii="Garamond" w:eastAsia="Garamond" w:hAnsi="Garamond" w:cs="Garamond"/>
          <w:i/>
          <w:lang w:val="es-ES_tradnl" w:eastAsia="es-ES"/>
        </w:rPr>
      </w:pPr>
      <w:bookmarkStart w:id="69" w:name="_Toc158296320"/>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16</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Propiedades inscritas de la Asada Helechales y Potrero Grande</w:t>
      </w:r>
      <w:bookmarkEnd w:id="69"/>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07"/>
        <w:gridCol w:w="1332"/>
        <w:gridCol w:w="1559"/>
        <w:gridCol w:w="3730"/>
      </w:tblGrid>
      <w:tr w:rsidR="00B853B5" w:rsidRPr="00B853B5" w14:paraId="0479F14F" w14:textId="77777777" w:rsidTr="00EF750D">
        <w:tc>
          <w:tcPr>
            <w:tcW w:w="2207" w:type="dxa"/>
            <w:tcBorders>
              <w:bottom w:val="single" w:sz="12" w:space="0" w:color="8EAADB"/>
            </w:tcBorders>
            <w:vAlign w:val="center"/>
          </w:tcPr>
          <w:p w14:paraId="41B4BD3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Plano</w:t>
            </w:r>
          </w:p>
        </w:tc>
        <w:tc>
          <w:tcPr>
            <w:tcW w:w="1332" w:type="dxa"/>
            <w:tcBorders>
              <w:bottom w:val="single" w:sz="12" w:space="0" w:color="8EAADB"/>
            </w:tcBorders>
            <w:vAlign w:val="center"/>
          </w:tcPr>
          <w:p w14:paraId="4DCC622D"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Área en m</w:t>
            </w:r>
            <w:r w:rsidRPr="00B853B5">
              <w:rPr>
                <w:rFonts w:ascii="Garamond" w:eastAsia="Garamond" w:hAnsi="Garamond" w:cs="Garamond"/>
                <w:b/>
                <w:bCs/>
                <w:vertAlign w:val="superscript"/>
              </w:rPr>
              <w:t>2</w:t>
            </w:r>
          </w:p>
        </w:tc>
        <w:tc>
          <w:tcPr>
            <w:tcW w:w="1559" w:type="dxa"/>
            <w:tcBorders>
              <w:bottom w:val="single" w:sz="12" w:space="0" w:color="8EAADB"/>
            </w:tcBorders>
            <w:vAlign w:val="center"/>
          </w:tcPr>
          <w:p w14:paraId="34DF437F"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Ubicación</w:t>
            </w:r>
          </w:p>
        </w:tc>
        <w:tc>
          <w:tcPr>
            <w:tcW w:w="3730" w:type="dxa"/>
            <w:tcBorders>
              <w:bottom w:val="single" w:sz="12" w:space="0" w:color="8EAADB"/>
            </w:tcBorders>
            <w:vAlign w:val="center"/>
          </w:tcPr>
          <w:p w14:paraId="742D2F3B"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Construcciones</w:t>
            </w:r>
          </w:p>
        </w:tc>
      </w:tr>
      <w:tr w:rsidR="00B853B5" w:rsidRPr="00B853B5" w14:paraId="13E40474" w14:textId="77777777" w:rsidTr="00EF750D">
        <w:tc>
          <w:tcPr>
            <w:tcW w:w="2207" w:type="dxa"/>
            <w:vAlign w:val="center"/>
          </w:tcPr>
          <w:p w14:paraId="552B1560"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P- 0576563- 1985</w:t>
            </w:r>
          </w:p>
        </w:tc>
        <w:tc>
          <w:tcPr>
            <w:tcW w:w="1332" w:type="dxa"/>
            <w:vAlign w:val="center"/>
          </w:tcPr>
          <w:p w14:paraId="70DFEE1F"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656</w:t>
            </w:r>
          </w:p>
        </w:tc>
        <w:tc>
          <w:tcPr>
            <w:tcW w:w="1559" w:type="dxa"/>
            <w:vAlign w:val="center"/>
          </w:tcPr>
          <w:p w14:paraId="59BF0AD4"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Potrero centro</w:t>
            </w:r>
          </w:p>
        </w:tc>
        <w:tc>
          <w:tcPr>
            <w:tcW w:w="3730" w:type="dxa"/>
            <w:vAlign w:val="center"/>
          </w:tcPr>
          <w:p w14:paraId="110F52B1"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Vacío (para la construcción de futura ASADA)</w:t>
            </w:r>
          </w:p>
        </w:tc>
      </w:tr>
      <w:tr w:rsidR="00B853B5" w:rsidRPr="00B853B5" w14:paraId="5E13F264" w14:textId="77777777" w:rsidTr="00EF750D">
        <w:tc>
          <w:tcPr>
            <w:tcW w:w="2207" w:type="dxa"/>
            <w:vAlign w:val="center"/>
          </w:tcPr>
          <w:p w14:paraId="2D8B99CD"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P- 1317800- 2009</w:t>
            </w:r>
          </w:p>
        </w:tc>
        <w:tc>
          <w:tcPr>
            <w:tcW w:w="1332" w:type="dxa"/>
            <w:vAlign w:val="center"/>
          </w:tcPr>
          <w:p w14:paraId="5F982822"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258</w:t>
            </w:r>
          </w:p>
        </w:tc>
        <w:tc>
          <w:tcPr>
            <w:tcW w:w="1559" w:type="dxa"/>
            <w:vAlign w:val="center"/>
          </w:tcPr>
          <w:p w14:paraId="6B48984F"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Los Ángeles</w:t>
            </w:r>
          </w:p>
        </w:tc>
        <w:tc>
          <w:tcPr>
            <w:tcW w:w="3730" w:type="dxa"/>
            <w:vAlign w:val="center"/>
          </w:tcPr>
          <w:p w14:paraId="5B08077B"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Tiene un tanque de 15 m3 con un quiebragradiente (sin almacenamiento)</w:t>
            </w:r>
          </w:p>
        </w:tc>
      </w:tr>
      <w:tr w:rsidR="00B853B5" w:rsidRPr="00B853B5" w14:paraId="54B4DD83" w14:textId="77777777" w:rsidTr="00EF750D">
        <w:tc>
          <w:tcPr>
            <w:tcW w:w="2207" w:type="dxa"/>
            <w:vAlign w:val="center"/>
          </w:tcPr>
          <w:p w14:paraId="3E46D812"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P- 2012530- 2017</w:t>
            </w:r>
          </w:p>
        </w:tc>
        <w:tc>
          <w:tcPr>
            <w:tcW w:w="1332" w:type="dxa"/>
            <w:vAlign w:val="center"/>
          </w:tcPr>
          <w:p w14:paraId="3EDBFA0A"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33</w:t>
            </w:r>
          </w:p>
        </w:tc>
        <w:tc>
          <w:tcPr>
            <w:tcW w:w="1559" w:type="dxa"/>
            <w:vAlign w:val="center"/>
          </w:tcPr>
          <w:p w14:paraId="181420C3"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Los Ángeles</w:t>
            </w:r>
          </w:p>
        </w:tc>
        <w:tc>
          <w:tcPr>
            <w:tcW w:w="3730" w:type="dxa"/>
            <w:vAlign w:val="center"/>
          </w:tcPr>
          <w:p w14:paraId="5739851F"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Tiene una quiebragradiente de 1,7 m3</w:t>
            </w:r>
          </w:p>
        </w:tc>
      </w:tr>
      <w:tr w:rsidR="00B853B5" w:rsidRPr="00B853B5" w14:paraId="3CC07D54" w14:textId="77777777" w:rsidTr="00EF750D">
        <w:tc>
          <w:tcPr>
            <w:tcW w:w="2207" w:type="dxa"/>
            <w:vAlign w:val="center"/>
          </w:tcPr>
          <w:p w14:paraId="39A2CFF8"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P- 2012529- 2017</w:t>
            </w:r>
          </w:p>
        </w:tc>
        <w:tc>
          <w:tcPr>
            <w:tcW w:w="1332" w:type="dxa"/>
            <w:vAlign w:val="center"/>
          </w:tcPr>
          <w:p w14:paraId="36112DB8"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32</w:t>
            </w:r>
          </w:p>
        </w:tc>
        <w:tc>
          <w:tcPr>
            <w:tcW w:w="1559" w:type="dxa"/>
            <w:vAlign w:val="center"/>
          </w:tcPr>
          <w:p w14:paraId="4C13B067"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Los Ángeles</w:t>
            </w:r>
          </w:p>
        </w:tc>
        <w:tc>
          <w:tcPr>
            <w:tcW w:w="3730" w:type="dxa"/>
            <w:vAlign w:val="center"/>
          </w:tcPr>
          <w:p w14:paraId="2A6340FA"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Tiene un quiebragradiente de 2,5 m3</w:t>
            </w:r>
          </w:p>
        </w:tc>
      </w:tr>
      <w:tr w:rsidR="00B853B5" w:rsidRPr="00B853B5" w14:paraId="4AAC8F9A" w14:textId="77777777" w:rsidTr="00EF750D">
        <w:tc>
          <w:tcPr>
            <w:tcW w:w="2207" w:type="dxa"/>
            <w:vAlign w:val="center"/>
          </w:tcPr>
          <w:p w14:paraId="3F94D66F"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P- 2012527- 2017</w:t>
            </w:r>
          </w:p>
        </w:tc>
        <w:tc>
          <w:tcPr>
            <w:tcW w:w="1332" w:type="dxa"/>
            <w:vAlign w:val="center"/>
          </w:tcPr>
          <w:p w14:paraId="4BF32EC6"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126</w:t>
            </w:r>
          </w:p>
        </w:tc>
        <w:tc>
          <w:tcPr>
            <w:tcW w:w="1559" w:type="dxa"/>
            <w:vAlign w:val="center"/>
          </w:tcPr>
          <w:p w14:paraId="4B564296"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Pueblo Nuevo</w:t>
            </w:r>
          </w:p>
        </w:tc>
        <w:tc>
          <w:tcPr>
            <w:tcW w:w="3730" w:type="dxa"/>
            <w:vAlign w:val="center"/>
          </w:tcPr>
          <w:p w14:paraId="47455A78"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Tiene un tanque de 30 m3 , quiebragradiente y almacenamiento</w:t>
            </w:r>
          </w:p>
        </w:tc>
      </w:tr>
      <w:tr w:rsidR="00B853B5" w:rsidRPr="00B853B5" w14:paraId="42876E92" w14:textId="77777777" w:rsidTr="00EF750D">
        <w:trPr>
          <w:trHeight w:val="56"/>
        </w:trPr>
        <w:tc>
          <w:tcPr>
            <w:tcW w:w="2207" w:type="dxa"/>
            <w:vAlign w:val="center"/>
          </w:tcPr>
          <w:p w14:paraId="590DD0E6" w14:textId="77777777" w:rsidR="00B853B5" w:rsidRPr="00B853B5" w:rsidRDefault="00B853B5" w:rsidP="00B853B5">
            <w:pPr>
              <w:spacing w:after="200" w:line="276" w:lineRule="auto"/>
              <w:contextualSpacing/>
              <w:jc w:val="center"/>
              <w:rPr>
                <w:rFonts w:ascii="Garamond" w:eastAsia="Garamond" w:hAnsi="Garamond" w:cs="Garamond"/>
                <w:b/>
                <w:bCs/>
              </w:rPr>
            </w:pPr>
            <w:r w:rsidRPr="00B853B5">
              <w:rPr>
                <w:rFonts w:ascii="Garamond" w:eastAsia="Garamond" w:hAnsi="Garamond" w:cs="Garamond"/>
                <w:b/>
                <w:bCs/>
              </w:rPr>
              <w:t>P- 1650053- 2013</w:t>
            </w:r>
          </w:p>
        </w:tc>
        <w:tc>
          <w:tcPr>
            <w:tcW w:w="1332" w:type="dxa"/>
            <w:vAlign w:val="center"/>
          </w:tcPr>
          <w:p w14:paraId="0213EC1D"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76</w:t>
            </w:r>
          </w:p>
        </w:tc>
        <w:tc>
          <w:tcPr>
            <w:tcW w:w="1559" w:type="dxa"/>
            <w:vAlign w:val="center"/>
          </w:tcPr>
          <w:p w14:paraId="5155BEDE"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Alto de la Cruz</w:t>
            </w:r>
          </w:p>
        </w:tc>
        <w:tc>
          <w:tcPr>
            <w:tcW w:w="3730" w:type="dxa"/>
            <w:vAlign w:val="center"/>
          </w:tcPr>
          <w:p w14:paraId="61883C8A" w14:textId="77777777" w:rsidR="00B853B5" w:rsidRPr="00B853B5" w:rsidRDefault="00B853B5" w:rsidP="00B853B5">
            <w:pPr>
              <w:spacing w:after="200" w:line="276" w:lineRule="auto"/>
              <w:contextualSpacing/>
              <w:jc w:val="center"/>
              <w:rPr>
                <w:rFonts w:ascii="Garamond" w:eastAsia="Garamond" w:hAnsi="Garamond" w:cs="Garamond"/>
                <w:bCs/>
              </w:rPr>
            </w:pPr>
            <w:r w:rsidRPr="00B853B5">
              <w:rPr>
                <w:rFonts w:ascii="Garamond" w:eastAsia="Garamond" w:hAnsi="Garamond" w:cs="Garamond"/>
                <w:bCs/>
              </w:rPr>
              <w:t>Tiene un tanque de 50 m3</w:t>
            </w:r>
          </w:p>
        </w:tc>
      </w:tr>
    </w:tbl>
    <w:p w14:paraId="60A9BB37"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Fuente Asada Helechales y Potrero Grande.</w:t>
      </w:r>
    </w:p>
    <w:p w14:paraId="6A802790"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17A9F72"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Observaciones: </w:t>
      </w:r>
    </w:p>
    <w:p w14:paraId="6843B3F9"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085C5650"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tiene un total de 6 tanques con plano y escritura además de 30 tanques sin escritura y 1 con carta de compra y venta donde se encuentra el desarenador. </w:t>
      </w:r>
    </w:p>
    <w:p w14:paraId="59680265"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tiene un total de 44.654,43 metros de tubería (44.5 km), 18 km aproximados de las tomas, las cuales no poseen servidumbre escrita, el restante es sobre vía pública. </w:t>
      </w:r>
    </w:p>
    <w:p w14:paraId="0630B38A"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La Puna: </w:t>
      </w:r>
    </w:p>
    <w:p w14:paraId="15645641"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454DBA07"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4 tanques, propiedad sin escritura. </w:t>
      </w:r>
    </w:p>
    <w:p w14:paraId="51E68425"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 tiene un total de 11.606 metros de tubería (11 kilómetros) de los cuáles 3.800 metros aproximados son de las tomas sin servidumbre escrita en el restante sobre vía pública. </w:t>
      </w:r>
    </w:p>
    <w:p w14:paraId="136864F9"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Tres Colinas:</w:t>
      </w:r>
    </w:p>
    <w:p w14:paraId="26F65CA8"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544D5559"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3 tanques, sin escritura. </w:t>
      </w:r>
    </w:p>
    <w:p w14:paraId="35D019A4" w14:textId="77777777" w:rsidR="00B853B5" w:rsidRPr="00B853B5" w:rsidRDefault="00B853B5" w:rsidP="00B853B5">
      <w:pPr>
        <w:numPr>
          <w:ilvl w:val="0"/>
          <w:numId w:val="2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Se tiene un total de 2.277 metros aproximados en la toma, 1.000 metros sin servidumbre inscrita. El resto sobre vía pública.</w:t>
      </w:r>
    </w:p>
    <w:p w14:paraId="0B74680C" w14:textId="77777777" w:rsidR="00B853B5" w:rsidRPr="00B853B5" w:rsidRDefault="00B853B5" w:rsidP="00B853B5">
      <w:pPr>
        <w:spacing w:after="0" w:line="240" w:lineRule="auto"/>
        <w:jc w:val="both"/>
        <w:rPr>
          <w:rFonts w:ascii="Garamond" w:eastAsia="Garamond" w:hAnsi="Garamond" w:cs="Garamond"/>
          <w:b/>
          <w:lang w:val="es-ES_tradnl" w:eastAsia="es-ES"/>
        </w:rPr>
      </w:pPr>
      <w:bookmarkStart w:id="70" w:name="_Toc116647324"/>
      <w:r w:rsidRPr="00B853B5">
        <w:rPr>
          <w:rFonts w:ascii="Garamond" w:eastAsia="Garamond" w:hAnsi="Garamond" w:cs="Garamond"/>
          <w:b/>
          <w:lang w:val="es-ES_tradnl" w:eastAsia="es-ES"/>
        </w:rPr>
        <w:t>Asada Concepción</w:t>
      </w:r>
      <w:bookmarkEnd w:id="70"/>
      <w:r w:rsidRPr="00B853B5">
        <w:rPr>
          <w:rFonts w:ascii="Garamond" w:eastAsia="Garamond" w:hAnsi="Garamond" w:cs="Garamond"/>
          <w:b/>
          <w:lang w:val="es-ES_tradnl" w:eastAsia="es-ES"/>
        </w:rPr>
        <w:t xml:space="preserve"> de Pilas </w:t>
      </w:r>
    </w:p>
    <w:p w14:paraId="0BC84212"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1C9B5860"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Ubicación de la población a beneficiar:</w:t>
      </w:r>
    </w:p>
    <w:p w14:paraId="0E9A1852"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48A3B32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Este proyecto se encuentra ubicado en Concepción del distrito de Pilas, teniendo influencia en comunidades de Concepción, Alto de Concepción, San Vicente de Pilas y Las Delicias de Pejibaye. </w:t>
      </w:r>
    </w:p>
    <w:p w14:paraId="4B1D46FF" w14:textId="7DF49837" w:rsidR="00B853B5" w:rsidRDefault="00B853B5" w:rsidP="00B853B5">
      <w:pPr>
        <w:spacing w:after="0" w:line="240" w:lineRule="auto"/>
        <w:jc w:val="both"/>
        <w:rPr>
          <w:rFonts w:ascii="Garamond" w:eastAsia="Garamond" w:hAnsi="Garamond" w:cs="Garamond"/>
          <w:lang w:val="pt-BR" w:eastAsia="es-ES"/>
        </w:rPr>
      </w:pPr>
      <w:r w:rsidRPr="00B853B5">
        <w:rPr>
          <w:rFonts w:ascii="Garamond" w:eastAsia="Garamond" w:hAnsi="Garamond" w:cs="Garamond"/>
          <w:lang w:val="pt-BR" w:eastAsia="es-ES"/>
        </w:rPr>
        <w:t>Coordenadas: 9°06'06"N 83°27'59"W</w:t>
      </w:r>
    </w:p>
    <w:p w14:paraId="2B806AF2" w14:textId="78938E37" w:rsidR="00196828" w:rsidRDefault="00196828" w:rsidP="00B853B5">
      <w:pPr>
        <w:spacing w:after="0" w:line="240" w:lineRule="auto"/>
        <w:jc w:val="both"/>
        <w:rPr>
          <w:rFonts w:ascii="Garamond" w:eastAsia="Garamond" w:hAnsi="Garamond" w:cs="Garamond"/>
          <w:lang w:val="pt-BR" w:eastAsia="es-ES"/>
        </w:rPr>
      </w:pPr>
    </w:p>
    <w:p w14:paraId="4FC3DF0C" w14:textId="77777777" w:rsidR="00196828" w:rsidRPr="00B853B5" w:rsidRDefault="00196828" w:rsidP="00B853B5">
      <w:pPr>
        <w:spacing w:after="0" w:line="240" w:lineRule="auto"/>
        <w:jc w:val="both"/>
        <w:rPr>
          <w:rFonts w:ascii="Garamond" w:eastAsia="Garamond" w:hAnsi="Garamond" w:cs="Garamond"/>
          <w:lang w:val="pt-BR" w:eastAsia="es-ES"/>
        </w:rPr>
      </w:pPr>
    </w:p>
    <w:p w14:paraId="3D397E54" w14:textId="77777777" w:rsidR="00B853B5" w:rsidRPr="00B853B5" w:rsidRDefault="00B853B5" w:rsidP="00B853B5">
      <w:pPr>
        <w:spacing w:after="0" w:line="240" w:lineRule="auto"/>
        <w:jc w:val="both"/>
        <w:rPr>
          <w:rFonts w:ascii="Garamond" w:eastAsia="Garamond" w:hAnsi="Garamond" w:cs="Garamond"/>
          <w:lang w:val="pt-BR" w:eastAsia="es-ES"/>
        </w:rPr>
      </w:pPr>
    </w:p>
    <w:p w14:paraId="61B02040" w14:textId="0CEAA058" w:rsidR="00B853B5" w:rsidRPr="00B853B5" w:rsidRDefault="00B853B5" w:rsidP="00B853B5">
      <w:pPr>
        <w:spacing w:after="0" w:line="240" w:lineRule="auto"/>
        <w:jc w:val="center"/>
        <w:rPr>
          <w:rFonts w:ascii="Garamond" w:eastAsia="Garamond" w:hAnsi="Garamond" w:cs="Garamond"/>
          <w:i/>
          <w:lang w:val="es-ES_tradnl" w:eastAsia="es-ES"/>
        </w:rPr>
      </w:pPr>
      <w:bookmarkStart w:id="71" w:name="_Toc158296359"/>
      <w:r w:rsidRPr="00B853B5">
        <w:rPr>
          <w:rFonts w:ascii="Garamond" w:eastAsia="Garamond" w:hAnsi="Garamond" w:cs="Garamond"/>
          <w:i/>
          <w:lang w:val="pt-BR" w:eastAsia="es-ES"/>
        </w:rPr>
        <w:lastRenderedPageBreak/>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pt-BR"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pt-BR" w:eastAsia="es-ES"/>
        </w:rPr>
        <w:t>10</w:t>
      </w:r>
      <w:r w:rsidRPr="00B853B5">
        <w:rPr>
          <w:rFonts w:ascii="Garamond" w:eastAsia="Garamond" w:hAnsi="Garamond" w:cs="Garamond"/>
          <w:i/>
          <w:lang w:val="es-ES_tradnl" w:eastAsia="es-ES"/>
        </w:rPr>
        <w:fldChar w:fldCharType="end"/>
      </w:r>
      <w:r w:rsidRPr="00B853B5">
        <w:rPr>
          <w:rFonts w:ascii="Garamond" w:eastAsia="Garamond" w:hAnsi="Garamond" w:cs="Garamond"/>
          <w:i/>
          <w:lang w:val="pt-BR" w:eastAsia="es-ES"/>
        </w:rPr>
        <w:t xml:space="preserve">. </w:t>
      </w:r>
      <w:r w:rsidRPr="00B853B5">
        <w:rPr>
          <w:rFonts w:ascii="Garamond" w:eastAsia="Garamond" w:hAnsi="Garamond" w:cs="Garamond"/>
          <w:i/>
          <w:lang w:val="es-ES_tradnl" w:eastAsia="es-ES"/>
        </w:rPr>
        <w:t>Ubicación geográfica de la Asada Concepción de Pilas</w:t>
      </w:r>
      <w:bookmarkEnd w:id="71"/>
    </w:p>
    <w:p w14:paraId="3CD218E2" w14:textId="74BF36F5" w:rsidR="00B853B5" w:rsidRPr="00B853B5" w:rsidRDefault="00B853B5" w:rsidP="00B853B5">
      <w:pPr>
        <w:spacing w:after="0" w:line="240" w:lineRule="auto"/>
        <w:jc w:val="center"/>
        <w:rPr>
          <w:rFonts w:ascii="Garamond" w:eastAsia="Times New Roman" w:hAnsi="Garamond" w:cs="Times New Roman"/>
          <w:lang w:val="es-ES_tradnl" w:eastAsia="es-ES"/>
        </w:rPr>
      </w:pPr>
      <w:r w:rsidRPr="00B853B5">
        <w:rPr>
          <w:rFonts w:ascii="Garamond" w:eastAsia="Times New Roman" w:hAnsi="Garamond" w:cs="Times New Roman"/>
          <w:noProof/>
        </w:rPr>
        <w:drawing>
          <wp:inline distT="0" distB="0" distL="0" distR="0" wp14:anchorId="6D9E0DDC" wp14:editId="725CFF68">
            <wp:extent cx="4639945" cy="3425825"/>
            <wp:effectExtent l="0" t="0" r="8255" b="3175"/>
            <wp:docPr id="191118845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39945" cy="3425825"/>
                    </a:xfrm>
                    <a:prstGeom prst="rect">
                      <a:avLst/>
                    </a:prstGeom>
                    <a:noFill/>
                    <a:ln>
                      <a:noFill/>
                    </a:ln>
                  </pic:spPr>
                </pic:pic>
              </a:graphicData>
            </a:graphic>
          </wp:inline>
        </w:drawing>
      </w:r>
    </w:p>
    <w:p w14:paraId="63116393"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Imagen capturada de Google Earth en 22/12/2023.</w:t>
      </w:r>
    </w:p>
    <w:p w14:paraId="2D25F790"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24971E24"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Condiciones de accesibilidad de la zona:</w:t>
      </w:r>
    </w:p>
    <w:p w14:paraId="546C01DA"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4E8FD99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acceso principal al centro de Concepción de Pilas es sobre la Ruta Nacional Secundaria 244, iniciando sobre la Ruta Nacional 2 en el sitio conocido como La Juntas y 22 kilómetros de calle asfaltado al sureste, continuando sobre la Ruta Nacional Terciaria 330 con 19 kilómetros de camino público de lastre en buen estado. Existen otras rutas de acceso de longitudes similares, pero de lastre en buen estado y estado regular. </w:t>
      </w:r>
    </w:p>
    <w:p w14:paraId="7F9A738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34FED4B"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Condiciones socioeconómicas:</w:t>
      </w:r>
    </w:p>
    <w:p w14:paraId="0C4F46DE"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585E6659"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población de estas comunidades es de bajos ingresos económicos dedicados en un alto porcentaje a las activadas agrícolas y otro pequeño porcentaje a contrataciones ocasionales diversas y del estado. </w:t>
      </w:r>
    </w:p>
    <w:p w14:paraId="38894AE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60B99A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Cuenta con un valor en el Índice de Desarrollo Social Distrital 2017 (IDS) de 38.43.</w:t>
      </w:r>
    </w:p>
    <w:p w14:paraId="06132AD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85F14EE"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Infraestructura existente:</w:t>
      </w:r>
    </w:p>
    <w:p w14:paraId="62B2C959"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7FE341D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Infraestructura actual: 3 nacientes de captación, conducción y distribución en líneas de tuberías con 8.6 kilómetros instalados.</w:t>
      </w:r>
    </w:p>
    <w:p w14:paraId="4C6174CD"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51CAB004"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El consumo promedio mensual registrado en 2025-2026 es de 2856 metros cúbicos.</w:t>
      </w:r>
    </w:p>
    <w:p w14:paraId="67CF7798" w14:textId="2850ADFF" w:rsid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desglosa en la siguiente tabla, la propiedad registrada a nombre de la Asada Concepción de Pilas, con el desglose del área, ubicación y el monto pagado por la propiedad.   </w:t>
      </w:r>
    </w:p>
    <w:p w14:paraId="3A2FD2EC" w14:textId="57BB85EB" w:rsidR="00196828" w:rsidRDefault="00196828" w:rsidP="00B853B5">
      <w:pPr>
        <w:spacing w:after="0" w:line="240" w:lineRule="auto"/>
        <w:jc w:val="both"/>
        <w:rPr>
          <w:rFonts w:ascii="Garamond" w:eastAsia="Garamond" w:hAnsi="Garamond" w:cs="Garamond"/>
          <w:lang w:val="es-ES_tradnl" w:eastAsia="es-ES"/>
        </w:rPr>
      </w:pPr>
    </w:p>
    <w:p w14:paraId="500D6E93" w14:textId="2E57CDF4" w:rsidR="00196828" w:rsidRDefault="00196828" w:rsidP="00B853B5">
      <w:pPr>
        <w:spacing w:after="0" w:line="240" w:lineRule="auto"/>
        <w:jc w:val="both"/>
        <w:rPr>
          <w:rFonts w:ascii="Garamond" w:eastAsia="Garamond" w:hAnsi="Garamond" w:cs="Garamond"/>
          <w:lang w:val="es-ES_tradnl" w:eastAsia="es-ES"/>
        </w:rPr>
      </w:pPr>
    </w:p>
    <w:p w14:paraId="7984C73A" w14:textId="77777777" w:rsidR="00196828" w:rsidRPr="00B853B5" w:rsidRDefault="00196828" w:rsidP="00B853B5">
      <w:pPr>
        <w:spacing w:after="0" w:line="240" w:lineRule="auto"/>
        <w:jc w:val="both"/>
        <w:rPr>
          <w:rFonts w:ascii="Garamond" w:eastAsia="Garamond" w:hAnsi="Garamond" w:cs="Garamond"/>
          <w:lang w:val="es-ES_tradnl" w:eastAsia="es-ES"/>
        </w:rPr>
      </w:pPr>
    </w:p>
    <w:p w14:paraId="1D2C02E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C76FA21" w14:textId="7E386563" w:rsidR="00B853B5" w:rsidRPr="00B853B5" w:rsidRDefault="00B853B5" w:rsidP="00B853B5">
      <w:pPr>
        <w:spacing w:after="0" w:line="240" w:lineRule="auto"/>
        <w:jc w:val="center"/>
        <w:rPr>
          <w:rFonts w:ascii="Garamond" w:eastAsia="Garamond" w:hAnsi="Garamond" w:cs="Garamond"/>
          <w:i/>
          <w:lang w:val="es-ES_tradnl" w:eastAsia="es-ES"/>
        </w:rPr>
      </w:pPr>
      <w:bookmarkStart w:id="72" w:name="_Toc158296321"/>
      <w:r w:rsidRPr="00B853B5">
        <w:rPr>
          <w:rFonts w:ascii="Garamond" w:eastAsia="Garamond" w:hAnsi="Garamond" w:cs="Garamond"/>
          <w:i/>
          <w:lang w:val="es-ES_tradnl" w:eastAsia="es-ES"/>
        </w:rPr>
        <w:lastRenderedPageBreak/>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17</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Propiedades inscritas de la Asada Concepción de Pilas</w:t>
      </w:r>
      <w:bookmarkEnd w:id="72"/>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07"/>
        <w:gridCol w:w="2207"/>
        <w:gridCol w:w="2207"/>
        <w:gridCol w:w="2207"/>
      </w:tblGrid>
      <w:tr w:rsidR="00B853B5" w:rsidRPr="00B853B5" w14:paraId="7BB265A9" w14:textId="77777777" w:rsidTr="00EF750D">
        <w:tc>
          <w:tcPr>
            <w:tcW w:w="2207" w:type="dxa"/>
            <w:tcBorders>
              <w:bottom w:val="single" w:sz="12" w:space="0" w:color="8EAADB"/>
            </w:tcBorders>
            <w:vAlign w:val="center"/>
          </w:tcPr>
          <w:p w14:paraId="3B66AB04"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Plano</w:t>
            </w:r>
          </w:p>
        </w:tc>
        <w:tc>
          <w:tcPr>
            <w:tcW w:w="2207" w:type="dxa"/>
            <w:tcBorders>
              <w:bottom w:val="single" w:sz="12" w:space="0" w:color="8EAADB"/>
            </w:tcBorders>
            <w:vAlign w:val="center"/>
          </w:tcPr>
          <w:p w14:paraId="6CBB88EC"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Área en m</w:t>
            </w:r>
            <w:r w:rsidRPr="00B853B5">
              <w:rPr>
                <w:rFonts w:ascii="Garamond" w:eastAsia="Garamond" w:hAnsi="Garamond" w:cs="Garamond"/>
                <w:b/>
                <w:bCs/>
                <w:vertAlign w:val="superscript"/>
                <w:lang w:val="es-ES_tradnl" w:eastAsia="es-ES"/>
              </w:rPr>
              <w:t>2</w:t>
            </w:r>
          </w:p>
        </w:tc>
        <w:tc>
          <w:tcPr>
            <w:tcW w:w="2207" w:type="dxa"/>
            <w:tcBorders>
              <w:bottom w:val="single" w:sz="12" w:space="0" w:color="8EAADB"/>
            </w:tcBorders>
            <w:vAlign w:val="center"/>
          </w:tcPr>
          <w:p w14:paraId="7180C915"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Inscripción</w:t>
            </w:r>
          </w:p>
        </w:tc>
        <w:tc>
          <w:tcPr>
            <w:tcW w:w="2207" w:type="dxa"/>
            <w:tcBorders>
              <w:bottom w:val="single" w:sz="12" w:space="0" w:color="8EAADB"/>
            </w:tcBorders>
            <w:vAlign w:val="center"/>
          </w:tcPr>
          <w:p w14:paraId="74AF1480"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Monto en colones</w:t>
            </w:r>
          </w:p>
        </w:tc>
      </w:tr>
      <w:tr w:rsidR="00B853B5" w:rsidRPr="00B853B5" w14:paraId="6C90037E" w14:textId="77777777" w:rsidTr="00EF750D">
        <w:tc>
          <w:tcPr>
            <w:tcW w:w="2207" w:type="dxa"/>
            <w:vAlign w:val="center"/>
          </w:tcPr>
          <w:p w14:paraId="05F30BA5"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P- 1653221</w:t>
            </w:r>
          </w:p>
        </w:tc>
        <w:tc>
          <w:tcPr>
            <w:tcW w:w="2207" w:type="dxa"/>
            <w:vAlign w:val="center"/>
          </w:tcPr>
          <w:p w14:paraId="5812672C"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1986</w:t>
            </w:r>
          </w:p>
        </w:tc>
        <w:tc>
          <w:tcPr>
            <w:tcW w:w="2207" w:type="dxa"/>
            <w:vAlign w:val="center"/>
          </w:tcPr>
          <w:p w14:paraId="550CDF98"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09-jul-2013</w:t>
            </w:r>
          </w:p>
        </w:tc>
        <w:tc>
          <w:tcPr>
            <w:tcW w:w="2207" w:type="dxa"/>
            <w:vAlign w:val="center"/>
          </w:tcPr>
          <w:p w14:paraId="69EAB789"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5, 958, 000</w:t>
            </w:r>
          </w:p>
        </w:tc>
      </w:tr>
      <w:tr w:rsidR="00B853B5" w:rsidRPr="00B853B5" w14:paraId="4B7CFFD5" w14:textId="77777777" w:rsidTr="00EF750D">
        <w:tc>
          <w:tcPr>
            <w:tcW w:w="2207" w:type="dxa"/>
            <w:vAlign w:val="center"/>
          </w:tcPr>
          <w:p w14:paraId="6BE2FB39"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P- 1340062- 2009</w:t>
            </w:r>
          </w:p>
        </w:tc>
        <w:tc>
          <w:tcPr>
            <w:tcW w:w="2207" w:type="dxa"/>
            <w:vAlign w:val="center"/>
          </w:tcPr>
          <w:p w14:paraId="7DCC9CAF"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186</w:t>
            </w:r>
          </w:p>
        </w:tc>
        <w:tc>
          <w:tcPr>
            <w:tcW w:w="2207" w:type="dxa"/>
            <w:vAlign w:val="center"/>
          </w:tcPr>
          <w:p w14:paraId="2DA3E3D4"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06-jul-2015</w:t>
            </w:r>
          </w:p>
        </w:tc>
        <w:tc>
          <w:tcPr>
            <w:tcW w:w="2207" w:type="dxa"/>
            <w:vAlign w:val="center"/>
          </w:tcPr>
          <w:p w14:paraId="03681868"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558, 000</w:t>
            </w:r>
          </w:p>
        </w:tc>
      </w:tr>
      <w:tr w:rsidR="00B853B5" w:rsidRPr="00B853B5" w14:paraId="4A4A7FC1" w14:textId="77777777" w:rsidTr="00EF750D">
        <w:tc>
          <w:tcPr>
            <w:tcW w:w="2207" w:type="dxa"/>
            <w:vAlign w:val="center"/>
          </w:tcPr>
          <w:p w14:paraId="156F751C"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P-1349802- 2009</w:t>
            </w:r>
          </w:p>
        </w:tc>
        <w:tc>
          <w:tcPr>
            <w:tcW w:w="2207" w:type="dxa"/>
            <w:vAlign w:val="center"/>
          </w:tcPr>
          <w:p w14:paraId="6FEC67C5"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25</w:t>
            </w:r>
          </w:p>
        </w:tc>
        <w:tc>
          <w:tcPr>
            <w:tcW w:w="2207" w:type="dxa"/>
            <w:vAlign w:val="center"/>
          </w:tcPr>
          <w:p w14:paraId="5B55DE09"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29-jul-2009</w:t>
            </w:r>
          </w:p>
        </w:tc>
        <w:tc>
          <w:tcPr>
            <w:tcW w:w="2207" w:type="dxa"/>
            <w:vAlign w:val="center"/>
          </w:tcPr>
          <w:p w14:paraId="0833E7A6"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75, 000</w:t>
            </w:r>
          </w:p>
        </w:tc>
      </w:tr>
      <w:tr w:rsidR="00B853B5" w:rsidRPr="00B853B5" w14:paraId="7A8F99F1" w14:textId="77777777" w:rsidTr="00EF750D">
        <w:tc>
          <w:tcPr>
            <w:tcW w:w="2207" w:type="dxa"/>
            <w:vAlign w:val="center"/>
          </w:tcPr>
          <w:p w14:paraId="2713EEA6"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P- 1321707- 2009</w:t>
            </w:r>
          </w:p>
        </w:tc>
        <w:tc>
          <w:tcPr>
            <w:tcW w:w="2207" w:type="dxa"/>
            <w:vAlign w:val="center"/>
          </w:tcPr>
          <w:p w14:paraId="42B7207C"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25</w:t>
            </w:r>
          </w:p>
        </w:tc>
        <w:tc>
          <w:tcPr>
            <w:tcW w:w="2207" w:type="dxa"/>
            <w:vAlign w:val="center"/>
          </w:tcPr>
          <w:p w14:paraId="06660825"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28-jul-2009</w:t>
            </w:r>
          </w:p>
        </w:tc>
        <w:tc>
          <w:tcPr>
            <w:tcW w:w="2207" w:type="dxa"/>
            <w:vAlign w:val="center"/>
          </w:tcPr>
          <w:p w14:paraId="135337C7"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75, 000</w:t>
            </w:r>
          </w:p>
        </w:tc>
      </w:tr>
      <w:tr w:rsidR="00B853B5" w:rsidRPr="00B853B5" w14:paraId="3CC3B23F" w14:textId="77777777" w:rsidTr="00EF750D">
        <w:tc>
          <w:tcPr>
            <w:tcW w:w="2207" w:type="dxa"/>
            <w:vAlign w:val="center"/>
          </w:tcPr>
          <w:p w14:paraId="7211ABC8"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P- 1344373- 2009</w:t>
            </w:r>
          </w:p>
        </w:tc>
        <w:tc>
          <w:tcPr>
            <w:tcW w:w="2207" w:type="dxa"/>
            <w:vAlign w:val="center"/>
          </w:tcPr>
          <w:p w14:paraId="2AF813F7"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100</w:t>
            </w:r>
          </w:p>
        </w:tc>
        <w:tc>
          <w:tcPr>
            <w:tcW w:w="2207" w:type="dxa"/>
            <w:vAlign w:val="center"/>
          </w:tcPr>
          <w:p w14:paraId="0A22AB66"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24-jul-2009</w:t>
            </w:r>
          </w:p>
        </w:tc>
        <w:tc>
          <w:tcPr>
            <w:tcW w:w="2207" w:type="dxa"/>
            <w:vAlign w:val="center"/>
          </w:tcPr>
          <w:p w14:paraId="6F161229"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300, 000</w:t>
            </w:r>
          </w:p>
        </w:tc>
      </w:tr>
      <w:tr w:rsidR="00B853B5" w:rsidRPr="00B853B5" w14:paraId="16813C97" w14:textId="77777777" w:rsidTr="00EF750D">
        <w:tc>
          <w:tcPr>
            <w:tcW w:w="2207" w:type="dxa"/>
            <w:vAlign w:val="center"/>
          </w:tcPr>
          <w:p w14:paraId="3A99DE66"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P- 1343311-2009</w:t>
            </w:r>
          </w:p>
        </w:tc>
        <w:tc>
          <w:tcPr>
            <w:tcW w:w="2207" w:type="dxa"/>
            <w:vAlign w:val="center"/>
          </w:tcPr>
          <w:p w14:paraId="3BF5BBC8"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144</w:t>
            </w:r>
          </w:p>
        </w:tc>
        <w:tc>
          <w:tcPr>
            <w:tcW w:w="2207" w:type="dxa"/>
            <w:vAlign w:val="center"/>
          </w:tcPr>
          <w:p w14:paraId="5D31C17E"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16-jul-2009</w:t>
            </w:r>
          </w:p>
        </w:tc>
        <w:tc>
          <w:tcPr>
            <w:tcW w:w="2207" w:type="dxa"/>
            <w:vAlign w:val="center"/>
          </w:tcPr>
          <w:p w14:paraId="58D8F6CF"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432, 000</w:t>
            </w:r>
          </w:p>
        </w:tc>
      </w:tr>
      <w:tr w:rsidR="00B853B5" w:rsidRPr="00B853B5" w14:paraId="5E81A7DD" w14:textId="77777777" w:rsidTr="00EF750D">
        <w:tc>
          <w:tcPr>
            <w:tcW w:w="2207" w:type="dxa"/>
            <w:vAlign w:val="center"/>
          </w:tcPr>
          <w:p w14:paraId="76FE3B14" w14:textId="77777777" w:rsidR="00B853B5" w:rsidRPr="00B853B5" w:rsidRDefault="00B853B5" w:rsidP="00B853B5">
            <w:pPr>
              <w:spacing w:line="240" w:lineRule="auto"/>
              <w:jc w:val="center"/>
              <w:rPr>
                <w:rFonts w:ascii="Garamond" w:eastAsia="Garamond" w:hAnsi="Garamond" w:cs="Garamond"/>
                <w:b/>
                <w:bCs/>
                <w:lang w:eastAsia="es-ES"/>
              </w:rPr>
            </w:pPr>
            <w:r w:rsidRPr="00B853B5">
              <w:rPr>
                <w:rFonts w:ascii="Garamond" w:eastAsia="Garamond" w:hAnsi="Garamond" w:cs="Garamond"/>
                <w:b/>
                <w:bCs/>
                <w:lang w:val="es-ES_tradnl" w:eastAsia="es-ES"/>
              </w:rPr>
              <w:t>P- 1321708- 2009</w:t>
            </w:r>
          </w:p>
        </w:tc>
        <w:tc>
          <w:tcPr>
            <w:tcW w:w="2207" w:type="dxa"/>
            <w:vAlign w:val="center"/>
          </w:tcPr>
          <w:p w14:paraId="122D6062"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84</w:t>
            </w:r>
          </w:p>
        </w:tc>
        <w:tc>
          <w:tcPr>
            <w:tcW w:w="2207" w:type="dxa"/>
            <w:vAlign w:val="center"/>
          </w:tcPr>
          <w:p w14:paraId="71D75BA7"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21-mayo-2009</w:t>
            </w:r>
          </w:p>
        </w:tc>
        <w:tc>
          <w:tcPr>
            <w:tcW w:w="2207" w:type="dxa"/>
            <w:vAlign w:val="center"/>
          </w:tcPr>
          <w:p w14:paraId="6DE3FD84" w14:textId="77777777" w:rsidR="00B853B5" w:rsidRPr="00B853B5" w:rsidRDefault="00B853B5" w:rsidP="00B853B5">
            <w:pPr>
              <w:spacing w:line="240" w:lineRule="auto"/>
              <w:jc w:val="center"/>
              <w:rPr>
                <w:rFonts w:ascii="Garamond" w:eastAsia="Garamond" w:hAnsi="Garamond" w:cs="Garamond"/>
                <w:lang w:eastAsia="es-ES"/>
              </w:rPr>
            </w:pPr>
            <w:r w:rsidRPr="00B853B5">
              <w:rPr>
                <w:rFonts w:ascii="Garamond" w:eastAsia="Garamond" w:hAnsi="Garamond" w:cs="Garamond"/>
                <w:lang w:val="es-ES_tradnl" w:eastAsia="es-ES"/>
              </w:rPr>
              <w:t>252,000</w:t>
            </w:r>
          </w:p>
        </w:tc>
      </w:tr>
      <w:tr w:rsidR="00B853B5" w:rsidRPr="00B853B5" w14:paraId="1FCEC602" w14:textId="77777777" w:rsidTr="00EF750D">
        <w:tc>
          <w:tcPr>
            <w:tcW w:w="2207" w:type="dxa"/>
            <w:vAlign w:val="center"/>
          </w:tcPr>
          <w:p w14:paraId="2F11AD51"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P- 1320183- 2009</w:t>
            </w:r>
          </w:p>
        </w:tc>
        <w:tc>
          <w:tcPr>
            <w:tcW w:w="2207" w:type="dxa"/>
            <w:vAlign w:val="center"/>
          </w:tcPr>
          <w:p w14:paraId="5432C2B5"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25</w:t>
            </w:r>
          </w:p>
        </w:tc>
        <w:tc>
          <w:tcPr>
            <w:tcW w:w="2207" w:type="dxa"/>
            <w:vAlign w:val="center"/>
          </w:tcPr>
          <w:p w14:paraId="3A648221"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21-mayo-2009</w:t>
            </w:r>
          </w:p>
        </w:tc>
        <w:tc>
          <w:tcPr>
            <w:tcW w:w="2207" w:type="dxa"/>
            <w:vAlign w:val="center"/>
          </w:tcPr>
          <w:p w14:paraId="3CE106CD"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75, 000</w:t>
            </w:r>
          </w:p>
        </w:tc>
      </w:tr>
      <w:tr w:rsidR="00B853B5" w:rsidRPr="00B853B5" w14:paraId="29BA9BF5" w14:textId="77777777" w:rsidTr="00EF750D">
        <w:tc>
          <w:tcPr>
            <w:tcW w:w="2207" w:type="dxa"/>
            <w:vAlign w:val="center"/>
          </w:tcPr>
          <w:p w14:paraId="5A8F04E7"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SJ- 1358176- 2009</w:t>
            </w:r>
          </w:p>
        </w:tc>
        <w:tc>
          <w:tcPr>
            <w:tcW w:w="2207" w:type="dxa"/>
            <w:vAlign w:val="center"/>
          </w:tcPr>
          <w:p w14:paraId="3BBC0B61"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40. 493</w:t>
            </w:r>
          </w:p>
        </w:tc>
        <w:tc>
          <w:tcPr>
            <w:tcW w:w="2207" w:type="dxa"/>
            <w:vAlign w:val="center"/>
          </w:tcPr>
          <w:p w14:paraId="380D4C93"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24-nov-2009</w:t>
            </w:r>
          </w:p>
        </w:tc>
        <w:tc>
          <w:tcPr>
            <w:tcW w:w="2207" w:type="dxa"/>
            <w:vAlign w:val="center"/>
          </w:tcPr>
          <w:p w14:paraId="713F700D"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4, 000, 000</w:t>
            </w:r>
          </w:p>
        </w:tc>
      </w:tr>
      <w:tr w:rsidR="00B853B5" w:rsidRPr="00B853B5" w14:paraId="15890AA3" w14:textId="77777777" w:rsidTr="00EF750D">
        <w:tc>
          <w:tcPr>
            <w:tcW w:w="2207" w:type="dxa"/>
            <w:vAlign w:val="center"/>
          </w:tcPr>
          <w:p w14:paraId="76FDDBF2"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P- 1363197- 2009</w:t>
            </w:r>
          </w:p>
        </w:tc>
        <w:tc>
          <w:tcPr>
            <w:tcW w:w="2207" w:type="dxa"/>
            <w:vAlign w:val="center"/>
          </w:tcPr>
          <w:p w14:paraId="03EBB9DF"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24</w:t>
            </w:r>
          </w:p>
        </w:tc>
        <w:tc>
          <w:tcPr>
            <w:tcW w:w="2207" w:type="dxa"/>
            <w:vAlign w:val="center"/>
          </w:tcPr>
          <w:p w14:paraId="0546434F"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18-nov-2009</w:t>
            </w:r>
          </w:p>
        </w:tc>
        <w:tc>
          <w:tcPr>
            <w:tcW w:w="2207" w:type="dxa"/>
            <w:vAlign w:val="center"/>
          </w:tcPr>
          <w:p w14:paraId="7390D003"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72, 000</w:t>
            </w:r>
          </w:p>
        </w:tc>
      </w:tr>
    </w:tbl>
    <w:p w14:paraId="4569D952"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Asada Concepción de Pilas.</w:t>
      </w:r>
    </w:p>
    <w:p w14:paraId="08C2EAEB" w14:textId="77777777" w:rsidR="00B853B5" w:rsidRPr="00B853B5" w:rsidRDefault="00B853B5" w:rsidP="00B853B5">
      <w:pPr>
        <w:numPr>
          <w:ilvl w:val="2"/>
          <w:numId w:val="18"/>
        </w:numPr>
        <w:tabs>
          <w:tab w:val="left" w:pos="426"/>
        </w:tabs>
        <w:spacing w:before="120" w:after="0" w:line="240" w:lineRule="auto"/>
        <w:jc w:val="both"/>
        <w:rPr>
          <w:rFonts w:ascii="Garamond" w:hAnsi="Garamond" w:cs="Arial"/>
          <w:b/>
          <w:color w:val="000000"/>
          <w:lang w:val="es-ES" w:eastAsia="en-US"/>
        </w:rPr>
      </w:pPr>
      <w:bookmarkStart w:id="73" w:name="_Toc158296401"/>
      <w:r w:rsidRPr="00B853B5">
        <w:rPr>
          <w:rFonts w:ascii="Garamond" w:eastAsia="Garamond" w:hAnsi="Garamond" w:cs="Garamond"/>
          <w:b/>
          <w:lang w:val="es-ES" w:eastAsia="en-US"/>
        </w:rPr>
        <w:t>Efectos indirectos</w:t>
      </w:r>
      <w:bookmarkEnd w:id="73"/>
    </w:p>
    <w:p w14:paraId="38BB01D4" w14:textId="77777777" w:rsidR="00B853B5" w:rsidRPr="00B853B5" w:rsidRDefault="00B853B5" w:rsidP="00B853B5">
      <w:pPr>
        <w:spacing w:after="200" w:line="240" w:lineRule="auto"/>
        <w:contextualSpacing/>
        <w:rPr>
          <w:rFonts w:ascii="Garamond" w:hAnsi="Garamond" w:cs="Arial"/>
          <w:lang w:val="es-ES" w:eastAsia="en-US"/>
        </w:rPr>
      </w:pPr>
    </w:p>
    <w:p w14:paraId="7941EE4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identifican los límites dentro de los cuales el proyecto genera efectos sobre el medio ambiente o agentes económicos no directamente relacionados con los recursos y los productos que usa o produce el proyecto. </w:t>
      </w:r>
    </w:p>
    <w:p w14:paraId="715F89A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9301CAF"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Efectos sobre la Ruta del Agua y de la Biodiversidad La Amistad</w:t>
      </w:r>
    </w:p>
    <w:p w14:paraId="45C96A1F"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5AF90D8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La Ruta del Agua es un destino turístico ubicado al sur del país, específicamente en la Zona de Amortiguamiento del Parque Internacional La Amistad de Buenos Aires y Coto Brus, que abarca más de 223.044 kilómetros de longitud mayormente en red vial cantonal con emprendimientos turísticos.</w:t>
      </w:r>
    </w:p>
    <w:p w14:paraId="1F893EA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F354623"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proyecto Ruta de las Aguas y la Biodiversidad La Amistad, ubicado en los cantones de Buenos Aires y Coto Brus, se menciona por primera vez en el IV taller realizado por la dirigencia comunal del distrito Pittier el 19 de julio de 2010 para la actualización del Plan de Desarrollo.</w:t>
      </w:r>
    </w:p>
    <w:p w14:paraId="69D092C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19B525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octubre 2019 el Consejo Territorial de Desarrollo Rural Buenos Aires- Coto Brus, retoma la iniciativa “Ruta de las Aguas” y acuerda en la sesión ordinaria 08-2019, solicitar a los Gobiernos Locales de Coto Brus y Buenos Aires promuevan la creación de una comisión que trabaje en la gestión del proyecto “Ruta del Agua”, como un atractivo turístico desde Pittier de Coto Brus hasta Convento de Buenos Aires.</w:t>
      </w:r>
    </w:p>
    <w:p w14:paraId="3EB2344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58CB13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Su servicio de atención personalizada le entrega una experiencia única y especial, ofreciendo paisajes prístinos y salvajes, gran variedad de actividades como turismo de aventura, proyectos de conservación y posibilidad de interactuar con diferentes culturas, por ejemplo: la mayor cantidad de grupos indígenas en una misma región del país.</w:t>
      </w:r>
    </w:p>
    <w:p w14:paraId="117717A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0D2E32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el territorio de Buenos Aires – Coto Brus, se encuentra el Parque Internacional La Amistad (PILA). Dentro de este, se localiza la Cordillera de Talamanca, al sur de Costa Rica, desde el límite con el Parque Nacional Chirripó hasta la frontera con Panamá, sobre la vertiente del Caribe y la del Pacífico.</w:t>
      </w:r>
    </w:p>
    <w:p w14:paraId="5561B45F"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05192D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La ruta temática llamada “Ruta de las aguas” inicia en las Mellizas de Sabalito y pasando por los poblados de La Lucha, Río Negro, La Flor del Roble, Río Marzo, El Roble, Palmira, Fila Tigre, Agua Caliente, La Escuadra, Santa María de Pitter, pudiendo continuarse hasta Convento de Buenos Aires.</w:t>
      </w:r>
    </w:p>
    <w:p w14:paraId="747B961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43951C9" w14:textId="0BD00BBD" w:rsidR="00B853B5" w:rsidRPr="00B853B5" w:rsidRDefault="00B853B5" w:rsidP="00B853B5">
      <w:pPr>
        <w:spacing w:after="0" w:line="240" w:lineRule="auto"/>
        <w:jc w:val="center"/>
        <w:rPr>
          <w:rFonts w:ascii="Garamond" w:eastAsia="Garamond" w:hAnsi="Garamond" w:cs="Garamond"/>
          <w:i/>
          <w:lang w:val="es-ES_tradnl" w:eastAsia="es-ES"/>
        </w:rPr>
      </w:pPr>
      <w:bookmarkStart w:id="74" w:name="_Toc158296360"/>
      <w:r w:rsidRPr="00B853B5">
        <w:rPr>
          <w:rFonts w:ascii="Garamond" w:eastAsia="Garamond" w:hAnsi="Garamond" w:cs="Garamond"/>
          <w:i/>
          <w:lang w:val="es-ES_tradnl" w:eastAsia="es-ES"/>
        </w:rPr>
        <w:t xml:space="preserve">Imagen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Imagen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11</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Ruta del Agua</w:t>
      </w:r>
      <w:bookmarkEnd w:id="74"/>
    </w:p>
    <w:p w14:paraId="660361A9" w14:textId="35174E02" w:rsidR="00B853B5" w:rsidRPr="00B853B5" w:rsidRDefault="00B853B5" w:rsidP="00B853B5">
      <w:pPr>
        <w:spacing w:after="200" w:line="240" w:lineRule="auto"/>
        <w:contextualSpacing/>
        <w:jc w:val="center"/>
        <w:rPr>
          <w:rFonts w:ascii="Garamond" w:eastAsia="Garamond" w:hAnsi="Garamond" w:cs="Garamond"/>
          <w:i/>
          <w:lang w:val="es-ES" w:eastAsia="en-US"/>
        </w:rPr>
      </w:pPr>
      <w:r w:rsidRPr="00B853B5">
        <w:rPr>
          <w:rFonts w:ascii="Garamond" w:eastAsia="Garamond" w:hAnsi="Garamond" w:cs="Garamond"/>
          <w:i/>
          <w:noProof/>
        </w:rPr>
        <w:drawing>
          <wp:inline distT="0" distB="0" distL="0" distR="0" wp14:anchorId="6386B073" wp14:editId="58A7B6A9">
            <wp:extent cx="5608955" cy="4019550"/>
            <wp:effectExtent l="0" t="0" r="0" b="0"/>
            <wp:docPr id="63436046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8955" cy="4019550"/>
                    </a:xfrm>
                    <a:prstGeom prst="rect">
                      <a:avLst/>
                    </a:prstGeom>
                    <a:noFill/>
                    <a:ln>
                      <a:noFill/>
                    </a:ln>
                  </pic:spPr>
                </pic:pic>
              </a:graphicData>
            </a:graphic>
          </wp:inline>
        </w:drawing>
      </w:r>
    </w:p>
    <w:p w14:paraId="2AC681D6"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Fuente: Programa de las Naciones Unidas (PNUD). Recuperado en 22/12/2023 de </w:t>
      </w:r>
      <w:hyperlink r:id="rId35" w:history="1">
        <w:r w:rsidRPr="00B853B5">
          <w:rPr>
            <w:rFonts w:ascii="Garamond" w:eastAsia="Garamond" w:hAnsi="Garamond" w:cs="Garamond"/>
            <w:i/>
            <w:color w:val="0000FF"/>
            <w:u w:val="single"/>
            <w:lang w:val="es-ES_tradnl" w:eastAsia="es-ES"/>
          </w:rPr>
          <w:t>https://regionalizacion.uned.ac.cr/destinobrunca/catalog/public/section/ruta-del-agua</w:t>
        </w:r>
      </w:hyperlink>
      <w:r w:rsidRPr="00B853B5">
        <w:rPr>
          <w:rFonts w:ascii="Garamond" w:eastAsia="Garamond" w:hAnsi="Garamond" w:cs="Garamond"/>
          <w:i/>
          <w:lang w:val="es-ES_tradnl" w:eastAsia="es-ES"/>
        </w:rPr>
        <w:t>.</w:t>
      </w:r>
    </w:p>
    <w:p w14:paraId="1C6FC8BC" w14:textId="77777777" w:rsidR="00B853B5" w:rsidRPr="00B853B5" w:rsidRDefault="00B853B5" w:rsidP="00B853B5">
      <w:pPr>
        <w:spacing w:after="0" w:line="240" w:lineRule="auto"/>
        <w:jc w:val="center"/>
        <w:rPr>
          <w:rFonts w:ascii="Garamond" w:eastAsia="Garamond" w:hAnsi="Garamond" w:cs="Garamond"/>
          <w:i/>
          <w:lang w:val="es-ES_tradnl" w:eastAsia="es-ES"/>
        </w:rPr>
      </w:pPr>
    </w:p>
    <w:p w14:paraId="07748D8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Dada la ubicación del proyecto y si se compara con el área de cobertura de la Ruta del Agua, tiene gran importancia y efectos en forma indirecta ya que se relaciona con la repercusión de los resultados en la protección del medio ambiente, sobre todo en lo que respecta la protección, mitigación de impactos, desarrollo de actividades turísticas y agropecuarias sostenibles y sustentables, así como está acorde con los planes locales de la gestión de desarrollo local, prevención de desastres, y atención de los servicios públicos, de la salud y educación ambiental.  </w:t>
      </w:r>
    </w:p>
    <w:p w14:paraId="1D66DEA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E782EEB"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Efectos sobre áreas protegidas, reservas naturales y zonas de protección </w:t>
      </w:r>
    </w:p>
    <w:p w14:paraId="33ACB215"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033898C3"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el territorio de Buenos Aires – Coto Brus, se encuentra el Parque Internacional La Amistad (PILA). Dentro de este, se localiza la Cordillera de Talamanca, al sur de Costa Rica, desde el límite con el Parque Nacional Chirripó hasta la frontera con Panamá, sobre la vertiente del Caribe y la del Pacífico. </w:t>
      </w:r>
    </w:p>
    <w:p w14:paraId="2D492F1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BA0F67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Es el Área Silvestre Protegida más grande de Costa Rica. Protege la masa continua de bosques tropical inalterado más extensa del país, característica que unida a su amplio rango altitudinal, fuertes cambios climáticos y variedad de suelos, propician gran variedad de ecosistemas y un alto endemismo, lo que hace que el PILA sea considerado como el Área Silvestre Protegida de mayor biodiversidad del país. </w:t>
      </w:r>
    </w:p>
    <w:p w14:paraId="191C84B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61CCEA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El territorio de Buenos Aires presenta una amplia cobertura de zonas de protección, las cuales se detalla en el siguiente cuadro:</w:t>
      </w:r>
    </w:p>
    <w:p w14:paraId="4A31AD6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ED5E0EB" w14:textId="4529E27A" w:rsidR="00B853B5" w:rsidRPr="00B853B5" w:rsidRDefault="00B853B5" w:rsidP="00B853B5">
      <w:pPr>
        <w:spacing w:after="0" w:line="240" w:lineRule="auto"/>
        <w:jc w:val="center"/>
        <w:rPr>
          <w:rFonts w:ascii="Garamond" w:eastAsia="Garamond" w:hAnsi="Garamond" w:cs="Garamond"/>
          <w:i/>
          <w:lang w:val="es-ES_tradnl" w:eastAsia="es-ES"/>
        </w:rPr>
      </w:pPr>
      <w:bookmarkStart w:id="75" w:name="_Toc158296322"/>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18</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Áreas Protegidas de Interés del Cantón de Buenos Aires</w:t>
      </w:r>
      <w:bookmarkEnd w:id="75"/>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49"/>
        <w:gridCol w:w="2738"/>
        <w:gridCol w:w="2741"/>
      </w:tblGrid>
      <w:tr w:rsidR="00B853B5" w:rsidRPr="00B853B5" w14:paraId="26DE0E99" w14:textId="77777777" w:rsidTr="00EF750D">
        <w:trPr>
          <w:trHeight w:val="281"/>
        </w:trPr>
        <w:tc>
          <w:tcPr>
            <w:tcW w:w="1848" w:type="pct"/>
            <w:tcBorders>
              <w:bottom w:val="single" w:sz="12" w:space="0" w:color="8EAADB"/>
            </w:tcBorders>
            <w:noWrap/>
            <w:vAlign w:val="center"/>
            <w:hideMark/>
          </w:tcPr>
          <w:p w14:paraId="1E22806C" w14:textId="77777777" w:rsidR="00B853B5" w:rsidRPr="00B853B5" w:rsidRDefault="00B853B5" w:rsidP="00B853B5">
            <w:pPr>
              <w:spacing w:line="240" w:lineRule="auto"/>
              <w:jc w:val="center"/>
              <w:rPr>
                <w:rFonts w:ascii="Garamond" w:eastAsia="Garamond" w:hAnsi="Garamond" w:cs="Garamond"/>
                <w:b/>
                <w:bCs/>
                <w:lang w:val="es-ES" w:eastAsia="es-ES"/>
              </w:rPr>
            </w:pPr>
            <w:r w:rsidRPr="00B853B5">
              <w:rPr>
                <w:rFonts w:ascii="Garamond" w:eastAsia="Garamond" w:hAnsi="Garamond" w:cs="Garamond"/>
                <w:b/>
                <w:bCs/>
                <w:lang w:val="es-ES" w:eastAsia="es-ES"/>
              </w:rPr>
              <w:t>Nombre de zona de protección</w:t>
            </w:r>
          </w:p>
        </w:tc>
        <w:tc>
          <w:tcPr>
            <w:tcW w:w="1575" w:type="pct"/>
            <w:tcBorders>
              <w:bottom w:val="single" w:sz="12" w:space="0" w:color="8EAADB"/>
            </w:tcBorders>
            <w:noWrap/>
            <w:vAlign w:val="center"/>
            <w:hideMark/>
          </w:tcPr>
          <w:p w14:paraId="2CA57C30"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Tipo</w:t>
            </w:r>
          </w:p>
        </w:tc>
        <w:tc>
          <w:tcPr>
            <w:tcW w:w="1577" w:type="pct"/>
            <w:tcBorders>
              <w:bottom w:val="single" w:sz="12" w:space="0" w:color="8EAADB"/>
            </w:tcBorders>
            <w:vAlign w:val="center"/>
          </w:tcPr>
          <w:p w14:paraId="639A05D1" w14:textId="77777777" w:rsidR="00B853B5" w:rsidRPr="00B853B5" w:rsidRDefault="00B853B5" w:rsidP="00B853B5">
            <w:pPr>
              <w:spacing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Área en protección (Ha)</w:t>
            </w:r>
          </w:p>
        </w:tc>
      </w:tr>
      <w:tr w:rsidR="00B853B5" w:rsidRPr="00B853B5" w14:paraId="304AC089" w14:textId="77777777" w:rsidTr="00EF750D">
        <w:trPr>
          <w:trHeight w:val="281"/>
        </w:trPr>
        <w:tc>
          <w:tcPr>
            <w:tcW w:w="1848" w:type="pct"/>
            <w:noWrap/>
            <w:vAlign w:val="center"/>
          </w:tcPr>
          <w:p w14:paraId="2FE2DE19"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Parque Internacional La Amistad</w:t>
            </w:r>
          </w:p>
        </w:tc>
        <w:tc>
          <w:tcPr>
            <w:tcW w:w="1575" w:type="pct"/>
            <w:noWrap/>
            <w:vAlign w:val="center"/>
          </w:tcPr>
          <w:p w14:paraId="2D6F28BE"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Parque</w:t>
            </w:r>
          </w:p>
        </w:tc>
        <w:tc>
          <w:tcPr>
            <w:tcW w:w="1577" w:type="pct"/>
            <w:vAlign w:val="center"/>
          </w:tcPr>
          <w:p w14:paraId="1C7ADBB0"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23.897 km</w:t>
            </w:r>
          </w:p>
        </w:tc>
      </w:tr>
      <w:tr w:rsidR="00B853B5" w:rsidRPr="00B853B5" w14:paraId="6F6DBF92" w14:textId="77777777" w:rsidTr="00EF750D">
        <w:trPr>
          <w:trHeight w:val="281"/>
        </w:trPr>
        <w:tc>
          <w:tcPr>
            <w:tcW w:w="1848" w:type="pct"/>
            <w:noWrap/>
            <w:vAlign w:val="center"/>
          </w:tcPr>
          <w:p w14:paraId="3EC91A31" w14:textId="77777777" w:rsidR="00B853B5" w:rsidRPr="00B853B5" w:rsidRDefault="00B853B5" w:rsidP="00B853B5">
            <w:pPr>
              <w:spacing w:line="240" w:lineRule="auto"/>
              <w:rPr>
                <w:rFonts w:ascii="Garamond" w:eastAsia="Garamond" w:hAnsi="Garamond" w:cs="Garamond"/>
                <w:b/>
                <w:bCs/>
                <w:lang w:val="es-ES" w:eastAsia="es-ES"/>
              </w:rPr>
            </w:pPr>
            <w:r w:rsidRPr="00B853B5">
              <w:rPr>
                <w:rFonts w:ascii="Garamond" w:eastAsia="Garamond" w:hAnsi="Garamond" w:cs="Garamond"/>
                <w:b/>
                <w:bCs/>
                <w:lang w:val="es-ES" w:eastAsia="es-ES"/>
              </w:rPr>
              <w:t>Sendero Los Gigantes del Bosque</w:t>
            </w:r>
          </w:p>
        </w:tc>
        <w:tc>
          <w:tcPr>
            <w:tcW w:w="1575" w:type="pct"/>
            <w:noWrap/>
            <w:vAlign w:val="center"/>
          </w:tcPr>
          <w:p w14:paraId="43FE9C26"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19B9292F"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1,5 km</w:t>
            </w:r>
          </w:p>
        </w:tc>
      </w:tr>
      <w:tr w:rsidR="00B853B5" w:rsidRPr="00B853B5" w14:paraId="54BF33D1" w14:textId="77777777" w:rsidTr="00EF750D">
        <w:trPr>
          <w:trHeight w:val="281"/>
        </w:trPr>
        <w:tc>
          <w:tcPr>
            <w:tcW w:w="1848" w:type="pct"/>
            <w:noWrap/>
            <w:vAlign w:val="center"/>
          </w:tcPr>
          <w:p w14:paraId="605B3986"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Valle del Silencio</w:t>
            </w:r>
          </w:p>
        </w:tc>
        <w:tc>
          <w:tcPr>
            <w:tcW w:w="1575" w:type="pct"/>
            <w:noWrap/>
            <w:vAlign w:val="center"/>
          </w:tcPr>
          <w:p w14:paraId="26BAC2B1"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65CBC130"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13,8 km</w:t>
            </w:r>
          </w:p>
        </w:tc>
      </w:tr>
      <w:tr w:rsidR="00B853B5" w:rsidRPr="00B853B5" w14:paraId="0ABA507E" w14:textId="77777777" w:rsidTr="00EF750D">
        <w:trPr>
          <w:trHeight w:val="281"/>
        </w:trPr>
        <w:tc>
          <w:tcPr>
            <w:tcW w:w="1848" w:type="pct"/>
            <w:noWrap/>
            <w:vAlign w:val="center"/>
          </w:tcPr>
          <w:p w14:paraId="4633A98C"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Cerro Kamuk</w:t>
            </w:r>
          </w:p>
        </w:tc>
        <w:tc>
          <w:tcPr>
            <w:tcW w:w="1575" w:type="pct"/>
            <w:noWrap/>
          </w:tcPr>
          <w:p w14:paraId="46FC4AC8"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57CDBC36"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26 km</w:t>
            </w:r>
          </w:p>
        </w:tc>
      </w:tr>
      <w:tr w:rsidR="00B853B5" w:rsidRPr="00B853B5" w14:paraId="45D03DF1" w14:textId="77777777" w:rsidTr="00EF750D">
        <w:trPr>
          <w:trHeight w:val="281"/>
        </w:trPr>
        <w:tc>
          <w:tcPr>
            <w:tcW w:w="1848" w:type="pct"/>
            <w:noWrap/>
            <w:vAlign w:val="center"/>
          </w:tcPr>
          <w:p w14:paraId="28AEA254"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Sabanas Esperanza</w:t>
            </w:r>
          </w:p>
        </w:tc>
        <w:tc>
          <w:tcPr>
            <w:tcW w:w="1575" w:type="pct"/>
            <w:noWrap/>
          </w:tcPr>
          <w:p w14:paraId="4E963EF7"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74FA6A63"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3,62 km</w:t>
            </w:r>
          </w:p>
        </w:tc>
      </w:tr>
      <w:tr w:rsidR="00B853B5" w:rsidRPr="00B853B5" w14:paraId="092B73DC" w14:textId="77777777" w:rsidTr="00EF750D">
        <w:trPr>
          <w:trHeight w:val="281"/>
        </w:trPr>
        <w:tc>
          <w:tcPr>
            <w:tcW w:w="1848" w:type="pct"/>
            <w:noWrap/>
            <w:vAlign w:val="center"/>
          </w:tcPr>
          <w:p w14:paraId="60E528A1"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Cerro Cabécar</w:t>
            </w:r>
          </w:p>
        </w:tc>
        <w:tc>
          <w:tcPr>
            <w:tcW w:w="1575" w:type="pct"/>
            <w:noWrap/>
          </w:tcPr>
          <w:p w14:paraId="52549FC6"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13824F5E"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4.451,5 km</w:t>
            </w:r>
          </w:p>
        </w:tc>
      </w:tr>
      <w:tr w:rsidR="00B853B5" w:rsidRPr="00B853B5" w14:paraId="7876FF26" w14:textId="77777777" w:rsidTr="00EF750D">
        <w:trPr>
          <w:trHeight w:val="281"/>
        </w:trPr>
        <w:tc>
          <w:tcPr>
            <w:tcW w:w="1848" w:type="pct"/>
            <w:noWrap/>
            <w:vAlign w:val="center"/>
          </w:tcPr>
          <w:p w14:paraId="630886ED"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Estación Pittier-Catarata</w:t>
            </w:r>
          </w:p>
        </w:tc>
        <w:tc>
          <w:tcPr>
            <w:tcW w:w="1575" w:type="pct"/>
            <w:noWrap/>
          </w:tcPr>
          <w:p w14:paraId="592D214A"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33630301"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2.2 km</w:t>
            </w:r>
          </w:p>
        </w:tc>
      </w:tr>
      <w:tr w:rsidR="00B853B5" w:rsidRPr="00B853B5" w14:paraId="62FC8898" w14:textId="77777777" w:rsidTr="00EF750D">
        <w:trPr>
          <w:trHeight w:val="281"/>
        </w:trPr>
        <w:tc>
          <w:tcPr>
            <w:tcW w:w="1848" w:type="pct"/>
            <w:noWrap/>
            <w:vAlign w:val="center"/>
          </w:tcPr>
          <w:p w14:paraId="08274114" w14:textId="77777777" w:rsidR="00B853B5" w:rsidRPr="00B853B5" w:rsidRDefault="00B853B5" w:rsidP="00B853B5">
            <w:pPr>
              <w:spacing w:line="240" w:lineRule="auto"/>
              <w:rPr>
                <w:rFonts w:ascii="Garamond" w:eastAsia="Garamond" w:hAnsi="Garamond" w:cs="Garamond"/>
                <w:b/>
                <w:bCs/>
                <w:lang w:val="es-ES_tradnl" w:eastAsia="es-ES"/>
              </w:rPr>
            </w:pPr>
            <w:r w:rsidRPr="00B853B5">
              <w:rPr>
                <w:rFonts w:ascii="Garamond" w:eastAsia="Garamond" w:hAnsi="Garamond" w:cs="Garamond"/>
                <w:b/>
                <w:bCs/>
                <w:lang w:val="es-ES_tradnl" w:eastAsia="es-ES"/>
              </w:rPr>
              <w:t>Sendero Casa Coca-Pittier</w:t>
            </w:r>
          </w:p>
        </w:tc>
        <w:tc>
          <w:tcPr>
            <w:tcW w:w="1575" w:type="pct"/>
            <w:noWrap/>
          </w:tcPr>
          <w:p w14:paraId="64F861DF"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Sendero</w:t>
            </w:r>
          </w:p>
        </w:tc>
        <w:tc>
          <w:tcPr>
            <w:tcW w:w="1577" w:type="pct"/>
            <w:vAlign w:val="center"/>
          </w:tcPr>
          <w:p w14:paraId="27CF9E66" w14:textId="77777777" w:rsidR="00B853B5" w:rsidRPr="00B853B5" w:rsidRDefault="00B853B5" w:rsidP="00B853B5">
            <w:pPr>
              <w:spacing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6,3 km</w:t>
            </w:r>
          </w:p>
        </w:tc>
      </w:tr>
    </w:tbl>
    <w:p w14:paraId="0D110B62"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Sistema Nacional de Áreas de Conservación, MINAE (citado en Instituto de Desarrollo Rural, 2014).</w:t>
      </w:r>
    </w:p>
    <w:p w14:paraId="61EE721C" w14:textId="77777777" w:rsidR="00B853B5" w:rsidRPr="00B853B5" w:rsidRDefault="00B853B5" w:rsidP="00B853B5">
      <w:pPr>
        <w:spacing w:after="0" w:line="240" w:lineRule="auto"/>
        <w:jc w:val="center"/>
        <w:rPr>
          <w:rFonts w:ascii="Garamond" w:eastAsia="Garamond" w:hAnsi="Garamond" w:cs="Garamond"/>
          <w:i/>
          <w:lang w:val="es-ES_tradnl" w:eastAsia="es-ES"/>
        </w:rPr>
      </w:pPr>
    </w:p>
    <w:p w14:paraId="139C8F44"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OBJETIVOS DE LOS ESTUDIOS</w:t>
      </w:r>
    </w:p>
    <w:p w14:paraId="7830D72D" w14:textId="77777777" w:rsidR="00B853B5" w:rsidRPr="00B853B5" w:rsidRDefault="00B853B5" w:rsidP="00B853B5">
      <w:pPr>
        <w:tabs>
          <w:tab w:val="left" w:pos="426"/>
        </w:tabs>
        <w:spacing w:before="120" w:after="0" w:line="240" w:lineRule="auto"/>
        <w:jc w:val="both"/>
        <w:rPr>
          <w:rFonts w:ascii="Garamond" w:eastAsia="Times New Roman" w:hAnsi="Garamond" w:cs="Arial"/>
          <w:b/>
          <w:highlight w:val="yellow"/>
          <w:lang w:val="es-ES" w:eastAsia="es-ES"/>
        </w:rPr>
      </w:pPr>
    </w:p>
    <w:p w14:paraId="04BBD163"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Objetivo General:</w:t>
      </w:r>
    </w:p>
    <w:p w14:paraId="345C7624" w14:textId="77777777" w:rsidR="00B853B5" w:rsidRPr="00B853B5" w:rsidRDefault="00B853B5" w:rsidP="00B853B5">
      <w:pPr>
        <w:spacing w:after="0" w:line="240" w:lineRule="auto"/>
        <w:jc w:val="both"/>
        <w:rPr>
          <w:rFonts w:ascii="Garamond" w:eastAsia="Times New Roman" w:hAnsi="Garamond" w:cs="Arial"/>
          <w:lang w:val="es-ES_tradnl" w:eastAsia="es-ES"/>
        </w:rPr>
      </w:pPr>
    </w:p>
    <w:p w14:paraId="5A2D1F3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Elaborar los estudios, diseños, planos de construcción, presupuestos detallados y especificaciones técnicas, según los términos de referencia para la ejecución del Proyecto de obra nueva y mejoramiento mayor de la infraestructura hídrica de las Asociaciones Administradoras de los Sistemas de Acueductos y Alcantarillados Comunales (ASADAS), en los distritos de Volcán, Brunka, Biolley, Potrero Grande y Pilas del Cantón de Buenos Aires, Puntarenas. </w:t>
      </w:r>
    </w:p>
    <w:p w14:paraId="1014510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67592FE"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Objetivos Específicos:</w:t>
      </w:r>
    </w:p>
    <w:p w14:paraId="17951A7B" w14:textId="77777777" w:rsidR="00B853B5" w:rsidRPr="00B853B5" w:rsidRDefault="00B853B5" w:rsidP="00B853B5">
      <w:pPr>
        <w:tabs>
          <w:tab w:val="left" w:pos="426"/>
        </w:tabs>
        <w:spacing w:before="120" w:after="200" w:line="240" w:lineRule="auto"/>
        <w:ind w:left="792"/>
        <w:contextualSpacing/>
        <w:jc w:val="both"/>
        <w:rPr>
          <w:rFonts w:ascii="Garamond" w:hAnsi="Garamond" w:cs="Arial"/>
          <w:b/>
          <w:lang w:val="es-ES" w:eastAsia="en-US"/>
        </w:rPr>
      </w:pPr>
    </w:p>
    <w:p w14:paraId="4E258C1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 definen como los logros parciales que se desea alcanzar y que sirven para determinar el estudio con mayor claridad y precisión.</w:t>
      </w:r>
    </w:p>
    <w:p w14:paraId="117B488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19A79E0"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Realizar los estudios técnicos básicos necesarios que sirvan como base para el desarrollo del proyecto propuesto. </w:t>
      </w:r>
    </w:p>
    <w:p w14:paraId="5E425280"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Determinar las obras a construir con sus dimensiones y cantidades a detallar en los planos de construcción que permitan mejorar el servicio de agua potable mediante un nuevo sistema integrado y con las mejoras y ampliaciones de los acueductos actuales de las ASADAS en la etapa de ejecución. </w:t>
      </w:r>
    </w:p>
    <w:p w14:paraId="3163E752"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Determinar las medidas de adaptación o mitigación identificadas del análisis de riesgos ante fenómenos naturales actualizados.</w:t>
      </w:r>
    </w:p>
    <w:p w14:paraId="60AE0110"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Determinar, en caso de ser pertinente, las superficies a expropiar y los costos de expropiaciones. </w:t>
      </w:r>
    </w:p>
    <w:p w14:paraId="0E6BBF92"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Definir las especificaciones técnicas a partir de los estudios de campo elaborados, la localización y tecnología seleccionadas. </w:t>
      </w:r>
    </w:p>
    <w:p w14:paraId="56A10813"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Realizar el presupuesto detallado de cada una de las obras propuestas.</w:t>
      </w:r>
    </w:p>
    <w:p w14:paraId="7ABF980A" w14:textId="77777777" w:rsidR="00B853B5" w:rsidRPr="00B853B5" w:rsidRDefault="00B853B5" w:rsidP="00B853B5">
      <w:pPr>
        <w:numPr>
          <w:ilvl w:val="0"/>
          <w:numId w:val="2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 xml:space="preserve">Definir los requerimientos de seguridad, de mantenimiento y especiales que deben analizarse en la etapa de construcción y funcionamiento, considerando elementos de accesibilidad, servicios que se brindarán, condiciones, entre otros. </w:t>
      </w:r>
    </w:p>
    <w:p w14:paraId="2338C15A" w14:textId="77777777" w:rsidR="00B853B5" w:rsidRPr="00B853B5" w:rsidRDefault="00B853B5" w:rsidP="00B853B5">
      <w:pPr>
        <w:spacing w:after="200" w:line="240" w:lineRule="auto"/>
        <w:ind w:left="720"/>
        <w:contextualSpacing/>
        <w:jc w:val="both"/>
        <w:rPr>
          <w:rFonts w:ascii="Garamond" w:eastAsia="Garamond" w:hAnsi="Garamond" w:cs="Garamond"/>
          <w:lang w:val="es-ES" w:eastAsia="en-US"/>
        </w:rPr>
      </w:pPr>
    </w:p>
    <w:p w14:paraId="535E6E23"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PRODUCTOS ESPERADOS</w:t>
      </w:r>
    </w:p>
    <w:p w14:paraId="68B429C0" w14:textId="77777777" w:rsidR="00B853B5" w:rsidRPr="00B853B5" w:rsidRDefault="00B853B5" w:rsidP="00B853B5">
      <w:pPr>
        <w:tabs>
          <w:tab w:val="left" w:pos="426"/>
        </w:tabs>
        <w:spacing w:before="120" w:after="0" w:line="240" w:lineRule="auto"/>
        <w:jc w:val="both"/>
        <w:rPr>
          <w:rFonts w:ascii="Garamond" w:eastAsia="Garamond" w:hAnsi="Garamond" w:cs="Garamond"/>
          <w:b/>
          <w:lang w:val="es-ES_tradnl" w:eastAsia="es-ES"/>
        </w:rPr>
      </w:pPr>
    </w:p>
    <w:p w14:paraId="62B2A050"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Alcance de los Estudios</w:t>
      </w:r>
    </w:p>
    <w:p w14:paraId="79BCF6AC" w14:textId="77777777" w:rsidR="00B853B5" w:rsidRPr="00B853B5" w:rsidRDefault="00B853B5" w:rsidP="00B853B5">
      <w:pPr>
        <w:tabs>
          <w:tab w:val="left" w:pos="426"/>
        </w:tabs>
        <w:spacing w:before="120" w:after="0" w:line="240" w:lineRule="auto"/>
        <w:ind w:left="792"/>
        <w:jc w:val="both"/>
        <w:rPr>
          <w:rFonts w:ascii="Garamond" w:eastAsia="Garamond" w:hAnsi="Garamond" w:cs="Garamond"/>
          <w:lang w:val="es-ES" w:eastAsia="en-US"/>
        </w:rPr>
      </w:pPr>
    </w:p>
    <w:p w14:paraId="61502DF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estudios complementarán las obras ya generadas con las que cuenta, por lo que se debe obtener los permisos necesarios, presupuestos, planos, viabilidades, alternativas, programas de mantenimiento y todos los insumos necesarios para la ejecución del proyecto de obra nueva y mejoramiento mayor de la infraestructura hídrica de las Asociaciones Administradoras de los Sistemas de Acueductos y Alcantarillados Comunales (ASADAS), en los distritos de Volcán, Brunka, Biolley, Potrero Grande y Pilas del Cantón de Buenos Aires.</w:t>
      </w:r>
    </w:p>
    <w:p w14:paraId="5C00B5A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2457560"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Dado que este proyecto se define en la etapa de Preinversión, pueden variar posteriormente la profundidad y complejidad de los estudios de ingeniería, por lo que se consideran en esta fase los estudios básicos tales como: Estudio Técnico, Estudio Hidrogeológico y Estudio de Impacto Ambiental.</w:t>
      </w:r>
    </w:p>
    <w:p w14:paraId="5DB4B61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8B9B45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estudios básicos deberán además considerar las medidas a tomar para la atención del proyecto ante amenazas naturales y adaptación al cambio climático, considerando la información disponible y las características generales del proyecto, identificando medidas y normas que reduzcan la fragilidad según el estado de conservación y los planes de mantenimiento programado. Los resultados del análisis de riesgo son un insumo fundamental para el diseño del proyecto y determinarán el costo integral de las obras desde la perspectiva de la ingeniería.</w:t>
      </w:r>
    </w:p>
    <w:p w14:paraId="07486BB7"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Producto 1 del Objetivo Específico 1, 4 y 7</w:t>
      </w:r>
    </w:p>
    <w:p w14:paraId="0058F392"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w:t>
      </w:r>
      <w:r w:rsidRPr="00B853B5">
        <w:rPr>
          <w:rFonts w:ascii="Garamond" w:eastAsia="Garamond" w:hAnsi="Garamond" w:cs="Garamond"/>
          <w:b/>
          <w:lang w:val="es-ES_tradnl" w:eastAsia="es-ES"/>
        </w:rPr>
        <w:t>Estudio Técnico</w:t>
      </w:r>
      <w:r w:rsidRPr="00B853B5">
        <w:rPr>
          <w:rFonts w:ascii="Garamond" w:eastAsia="Garamond" w:hAnsi="Garamond" w:cs="Garamond"/>
          <w:lang w:val="es-ES_tradnl" w:eastAsia="es-ES"/>
        </w:rPr>
        <w:t xml:space="preserve"> deberá establecer la capacidad hídrica e hidráulica del sistema, deberá determinar el estado y los componentes que lo integran, así como las mejoras que se requieran en la producción y la calidad de los caudales de aprovechamiento de las fuentes, en la infraestructura y en el funcionamiento que requiera el sistema. El contenido del Estudio estará determinado por las disposiciones emitidas por AyA para tal efecto. </w:t>
      </w:r>
    </w:p>
    <w:p w14:paraId="6F84E255"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Es responsabilidad del Oferente velar por la correcta aplicación de la normativa técnica, políticas y directrices emitidas por AyA, atendiendo los requisitos de admisibilidad, requisitos de contenido, establecidos en el procedimiento GOD-65-04-P, siendo éstas de acatamiento obligatorio tanto en la ejecución del Estudio, como en el diseño de las obras resultantes. Además, el oferente debe verificar información oficial y actualizada sobre población abastecida por los sistemas de acueductos de cada ASADA. </w:t>
      </w:r>
    </w:p>
    <w:p w14:paraId="57EBBCDB"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 determina que se debe entregar un Estudio Técnico por cada acueducto de las siguientes Asociaciones Administradoras de Sistemas de Acueductos y Alcantarillados Comunales:</w:t>
      </w:r>
    </w:p>
    <w:p w14:paraId="09B90E08"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Asada Volcán </w:t>
      </w:r>
    </w:p>
    <w:p w14:paraId="1B5BEEAC"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El Carmen</w:t>
      </w:r>
    </w:p>
    <w:p w14:paraId="30E004F1"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La Amistad</w:t>
      </w:r>
    </w:p>
    <w:p w14:paraId="1D2A5DD5"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Helechales-Potrero Grande</w:t>
      </w:r>
    </w:p>
    <w:p w14:paraId="7D5E6468" w14:textId="77777777" w:rsid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Concepción de Pilas</w:t>
      </w:r>
    </w:p>
    <w:p w14:paraId="2DBA64A4" w14:textId="77777777" w:rsidR="005171AB" w:rsidRDefault="005171AB" w:rsidP="005171AB">
      <w:pPr>
        <w:tabs>
          <w:tab w:val="left" w:pos="426"/>
        </w:tabs>
        <w:spacing w:before="120" w:after="0" w:line="240" w:lineRule="auto"/>
        <w:contextualSpacing/>
        <w:jc w:val="both"/>
        <w:rPr>
          <w:rFonts w:ascii="Garamond" w:eastAsia="Garamond" w:hAnsi="Garamond" w:cs="Garamond"/>
          <w:lang w:val="es-ES" w:eastAsia="en-US"/>
        </w:rPr>
      </w:pPr>
    </w:p>
    <w:p w14:paraId="23B43594" w14:textId="77777777" w:rsidR="005171AB" w:rsidRDefault="005171AB" w:rsidP="005171AB">
      <w:pPr>
        <w:tabs>
          <w:tab w:val="left" w:pos="426"/>
        </w:tabs>
        <w:spacing w:before="120" w:after="0" w:line="240" w:lineRule="auto"/>
        <w:contextualSpacing/>
        <w:jc w:val="both"/>
        <w:rPr>
          <w:rFonts w:ascii="Garamond" w:eastAsia="Garamond" w:hAnsi="Garamond" w:cs="Garamond"/>
          <w:lang w:val="es-ES" w:eastAsia="en-US"/>
        </w:rPr>
      </w:pPr>
    </w:p>
    <w:p w14:paraId="47BA1D2A" w14:textId="77777777" w:rsidR="005171AB" w:rsidRDefault="005171AB" w:rsidP="005171AB">
      <w:pPr>
        <w:tabs>
          <w:tab w:val="left" w:pos="426"/>
        </w:tabs>
        <w:spacing w:before="120" w:after="0" w:line="240" w:lineRule="auto"/>
        <w:contextualSpacing/>
        <w:jc w:val="both"/>
        <w:rPr>
          <w:rFonts w:ascii="Garamond" w:eastAsia="Garamond" w:hAnsi="Garamond" w:cs="Garamond"/>
          <w:lang w:val="es-ES" w:eastAsia="en-US"/>
        </w:rPr>
      </w:pPr>
    </w:p>
    <w:p w14:paraId="293ED42E" w14:textId="418EFDF4" w:rsidR="00B853B5" w:rsidRPr="00B853B5" w:rsidRDefault="00B853B5" w:rsidP="00B853B5">
      <w:pPr>
        <w:tabs>
          <w:tab w:val="left" w:pos="426"/>
        </w:tabs>
        <w:spacing w:before="120" w:after="0" w:line="240" w:lineRule="auto"/>
        <w:ind w:left="720"/>
        <w:contextualSpacing/>
        <w:jc w:val="both"/>
        <w:rPr>
          <w:rFonts w:ascii="Garamond" w:eastAsia="Garamond" w:hAnsi="Garamond" w:cs="Garamond"/>
          <w:lang w:val="es-ES" w:eastAsia="en-US"/>
        </w:rPr>
      </w:pPr>
    </w:p>
    <w:p w14:paraId="6A5EBFDA" w14:textId="345B2591"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lastRenderedPageBreak/>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19</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Productos esperados de los objetivos específicos 1,4 y 7</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78"/>
        <w:gridCol w:w="2479"/>
        <w:gridCol w:w="3871"/>
      </w:tblGrid>
      <w:tr w:rsidR="00B853B5" w:rsidRPr="00B853B5" w14:paraId="79799586" w14:textId="77777777" w:rsidTr="00EF750D">
        <w:tc>
          <w:tcPr>
            <w:tcW w:w="2478" w:type="dxa"/>
            <w:tcBorders>
              <w:bottom w:val="single" w:sz="12" w:space="0" w:color="9CC2E5"/>
            </w:tcBorders>
          </w:tcPr>
          <w:p w14:paraId="4FF2F18D"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Objetivo Específico</w:t>
            </w:r>
          </w:p>
        </w:tc>
        <w:tc>
          <w:tcPr>
            <w:tcW w:w="2479" w:type="dxa"/>
            <w:tcBorders>
              <w:bottom w:val="single" w:sz="12" w:space="0" w:color="9CC2E5"/>
            </w:tcBorders>
          </w:tcPr>
          <w:p w14:paraId="36298285"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Producto 1</w:t>
            </w:r>
          </w:p>
        </w:tc>
        <w:tc>
          <w:tcPr>
            <w:tcW w:w="3871" w:type="dxa"/>
            <w:tcBorders>
              <w:bottom w:val="single" w:sz="12" w:space="0" w:color="9CC2E5"/>
            </w:tcBorders>
          </w:tcPr>
          <w:p w14:paraId="7180E90D"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Sub productos</w:t>
            </w:r>
          </w:p>
        </w:tc>
      </w:tr>
      <w:tr w:rsidR="00B853B5" w:rsidRPr="00B853B5" w14:paraId="0251807A" w14:textId="77777777" w:rsidTr="00EF750D">
        <w:tc>
          <w:tcPr>
            <w:tcW w:w="2478" w:type="dxa"/>
            <w:vMerge w:val="restart"/>
            <w:vAlign w:val="center"/>
          </w:tcPr>
          <w:p w14:paraId="486A34FC"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1, 4 y 7</w:t>
            </w:r>
          </w:p>
        </w:tc>
        <w:tc>
          <w:tcPr>
            <w:tcW w:w="2479" w:type="dxa"/>
            <w:vMerge w:val="restart"/>
            <w:vAlign w:val="center"/>
          </w:tcPr>
          <w:p w14:paraId="2D7F7267"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Estudios Técnicos</w:t>
            </w:r>
          </w:p>
        </w:tc>
        <w:tc>
          <w:tcPr>
            <w:tcW w:w="3871" w:type="dxa"/>
          </w:tcPr>
          <w:p w14:paraId="0D549E81"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1.1 Estudio Técnico de la Asada  Volcán</w:t>
            </w:r>
          </w:p>
        </w:tc>
      </w:tr>
      <w:tr w:rsidR="00B853B5" w:rsidRPr="00B853B5" w14:paraId="2E121856" w14:textId="77777777" w:rsidTr="00EF750D">
        <w:tc>
          <w:tcPr>
            <w:tcW w:w="2478" w:type="dxa"/>
            <w:vMerge/>
          </w:tcPr>
          <w:p w14:paraId="0BBA71FC"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0AB383BB"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23D1435D"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1.2 Estudio Técnico de la Asada El Carmen</w:t>
            </w:r>
          </w:p>
        </w:tc>
      </w:tr>
      <w:tr w:rsidR="00B853B5" w:rsidRPr="00B853B5" w14:paraId="7F69CA26" w14:textId="77777777" w:rsidTr="00EF750D">
        <w:tc>
          <w:tcPr>
            <w:tcW w:w="2478" w:type="dxa"/>
            <w:vMerge/>
          </w:tcPr>
          <w:p w14:paraId="073C6E1E"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34592454"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5AD38387"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1.3 Estudio Técnico de la Asada La Amistad</w:t>
            </w:r>
          </w:p>
        </w:tc>
      </w:tr>
      <w:tr w:rsidR="00B853B5" w:rsidRPr="00B853B5" w14:paraId="19624510" w14:textId="77777777" w:rsidTr="00EF750D">
        <w:tc>
          <w:tcPr>
            <w:tcW w:w="2478" w:type="dxa"/>
            <w:vMerge/>
          </w:tcPr>
          <w:p w14:paraId="187D1A87"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126F774D"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594078AC"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1.4 Estudio Técnico de la Asada Helechales-Potrero Grande</w:t>
            </w:r>
          </w:p>
        </w:tc>
      </w:tr>
      <w:tr w:rsidR="00B853B5" w:rsidRPr="00B853B5" w14:paraId="40DCB430" w14:textId="77777777" w:rsidTr="00EF750D">
        <w:tc>
          <w:tcPr>
            <w:tcW w:w="2478" w:type="dxa"/>
            <w:vMerge/>
          </w:tcPr>
          <w:p w14:paraId="6A0043D6"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27375E75"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122F6FB2"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1.5 Estudio Técnico de la Asada Concepción de Pilas</w:t>
            </w:r>
          </w:p>
        </w:tc>
      </w:tr>
    </w:tbl>
    <w:p w14:paraId="6DF97BF0"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Elaboración propia</w:t>
      </w:r>
    </w:p>
    <w:p w14:paraId="1714929D"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p>
    <w:p w14:paraId="0B493E3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general, como complemento de los Estudios Técnicos, el </w:t>
      </w:r>
      <w:r w:rsidRPr="00B853B5">
        <w:rPr>
          <w:rFonts w:ascii="Garamond" w:eastAsia="Garamond" w:hAnsi="Garamond" w:cs="Garamond"/>
          <w:b/>
          <w:lang w:val="es-ES_tradnl" w:eastAsia="es-ES"/>
        </w:rPr>
        <w:t>OFERENTE</w:t>
      </w:r>
      <w:r w:rsidRPr="00B853B5">
        <w:rPr>
          <w:rFonts w:ascii="Garamond" w:eastAsia="Garamond" w:hAnsi="Garamond" w:cs="Garamond"/>
          <w:lang w:val="es-ES_tradnl" w:eastAsia="es-ES"/>
        </w:rPr>
        <w:t xml:space="preserve"> deberá contar con la autorización y el visado constructivo respectivo, otorgados por las correspondientes Áreas Rectoras del Ministerio de Salud, Municipalidad de Buenos Aires, así como de la SETENA y cualquier otra que corresponda, encontrándose permanente bajo la supervisión técnica del AyA, de conformidad con lo dispuesto por el numeral 21 de su Ley Constitutiva. </w:t>
      </w:r>
    </w:p>
    <w:p w14:paraId="13E4B22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7924FEA" w14:textId="77777777" w:rsidR="00B853B5" w:rsidRPr="00B853B5" w:rsidRDefault="00B853B5" w:rsidP="00B853B5">
      <w:pPr>
        <w:numPr>
          <w:ilvl w:val="2"/>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Aprobación de los Estudios Técnicos</w:t>
      </w:r>
    </w:p>
    <w:p w14:paraId="5310992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ECF47A7" w14:textId="77777777" w:rsidR="00B853B5" w:rsidRPr="00B853B5" w:rsidRDefault="00B853B5" w:rsidP="00B853B5">
      <w:pPr>
        <w:spacing w:after="0" w:line="240" w:lineRule="auto"/>
        <w:jc w:val="both"/>
        <w:rPr>
          <w:rFonts w:ascii="Garamond" w:eastAsia="Garamond" w:hAnsi="Garamond" w:cs="Garamond"/>
          <w:lang w:eastAsia="es-ES"/>
        </w:rPr>
      </w:pPr>
      <w:r w:rsidRPr="00B853B5">
        <w:rPr>
          <w:rFonts w:ascii="Garamond" w:eastAsia="Garamond" w:hAnsi="Garamond" w:cs="Garamond"/>
          <w:lang w:eastAsia="es-ES"/>
        </w:rPr>
        <w:t>La planificación de obras y proyectos futuros debe orientarse a identificar las mejores alternativas para la creación o mejora de los servicios públicos. Este proceso inicia con la formulación de estudios técnicos, los cuales permiten estructurar una secuencia lógica que parte del diagnóstico, orientado a caracterizar la situación actual y analizar las causas de un problema o necesidad insatisfecha.</w:t>
      </w:r>
    </w:p>
    <w:p w14:paraId="30FCA224" w14:textId="77777777" w:rsidR="00B853B5" w:rsidRPr="00B853B5" w:rsidRDefault="00B853B5" w:rsidP="00B853B5">
      <w:pPr>
        <w:spacing w:after="0" w:line="240" w:lineRule="auto"/>
        <w:jc w:val="both"/>
        <w:rPr>
          <w:rFonts w:ascii="Garamond" w:eastAsia="Garamond" w:hAnsi="Garamond" w:cs="Garamond"/>
          <w:lang w:eastAsia="es-ES"/>
        </w:rPr>
      </w:pPr>
    </w:p>
    <w:p w14:paraId="66E51C10" w14:textId="77777777" w:rsidR="00B853B5" w:rsidRPr="00B853B5" w:rsidRDefault="00B853B5" w:rsidP="00B853B5">
      <w:pPr>
        <w:spacing w:after="0" w:line="240" w:lineRule="auto"/>
        <w:jc w:val="both"/>
        <w:rPr>
          <w:rFonts w:ascii="Garamond" w:eastAsia="Garamond" w:hAnsi="Garamond" w:cs="Garamond"/>
          <w:lang w:eastAsia="es-ES"/>
        </w:rPr>
      </w:pPr>
      <w:r w:rsidRPr="00B853B5">
        <w:rPr>
          <w:rFonts w:ascii="Garamond" w:eastAsia="Garamond" w:hAnsi="Garamond" w:cs="Garamond"/>
          <w:lang w:eastAsia="es-ES"/>
        </w:rPr>
        <w:t>Asimismo, estos estudios contemplan la valoración de las políticas generales aplicables, su incorporación en los instrumentos de planificación institucional (ya sea anual o quinquenal), y la identificación de otros proyectos en estudio o en ejecución que requieran ser complementados mediante acciones adicionales.</w:t>
      </w:r>
    </w:p>
    <w:p w14:paraId="7E727B9C" w14:textId="77777777" w:rsidR="00B853B5" w:rsidRPr="00B853B5" w:rsidRDefault="00B853B5" w:rsidP="00B853B5">
      <w:pPr>
        <w:spacing w:after="0" w:line="240" w:lineRule="auto"/>
        <w:jc w:val="both"/>
        <w:rPr>
          <w:rFonts w:ascii="Garamond" w:eastAsia="Garamond" w:hAnsi="Garamond" w:cs="Garamond"/>
          <w:lang w:eastAsia="es-ES"/>
        </w:rPr>
      </w:pPr>
    </w:p>
    <w:p w14:paraId="08FCFBCC" w14:textId="77777777" w:rsidR="00B853B5" w:rsidRPr="00B853B5" w:rsidRDefault="00B853B5" w:rsidP="00B853B5">
      <w:pPr>
        <w:spacing w:before="100" w:beforeAutospacing="1" w:after="100" w:afterAutospacing="1" w:line="240" w:lineRule="auto"/>
        <w:jc w:val="both"/>
        <w:rPr>
          <w:rFonts w:ascii="Garamond" w:eastAsia="Garamond" w:hAnsi="Garamond" w:cs="Garamond"/>
          <w:lang w:eastAsia="es-ES"/>
        </w:rPr>
      </w:pPr>
      <w:r w:rsidRPr="00B853B5">
        <w:rPr>
          <w:rFonts w:ascii="Garamond" w:eastAsia="Garamond" w:hAnsi="Garamond" w:cs="Garamond"/>
          <w:lang w:eastAsia="es-ES"/>
        </w:rPr>
        <w:t>Cuando, como resultado del diagnóstico y del estudio técnico de mejoras, se determine la necesidad de modificar el caudal de aprovechamiento de las fuentes de abastecimiento ya sea mediante el aumento de los caudales existentes o la captación de nuevas fuentes, se deberá contar con la aprobación previa del Instituto Costarricense de Acueductos y Alcantarillados (AyA), en su condición de ente rector en materia de agua potable y saneamiento, conforme a lo establecido en la Ley Constitutiva del AyA, Ley N.° 2726.</w:t>
      </w:r>
    </w:p>
    <w:p w14:paraId="6C5478C7" w14:textId="77777777" w:rsidR="00B853B5" w:rsidRPr="00B853B5" w:rsidRDefault="00B853B5" w:rsidP="00B853B5">
      <w:pPr>
        <w:spacing w:before="100" w:beforeAutospacing="1" w:after="100" w:afterAutospacing="1" w:line="240" w:lineRule="auto"/>
        <w:jc w:val="both"/>
        <w:rPr>
          <w:rFonts w:ascii="Garamond" w:eastAsia="Garamond" w:hAnsi="Garamond" w:cs="Garamond"/>
          <w:lang w:eastAsia="es-ES"/>
        </w:rPr>
      </w:pPr>
      <w:r w:rsidRPr="00B853B5">
        <w:rPr>
          <w:rFonts w:ascii="Garamond" w:eastAsia="Garamond" w:hAnsi="Garamond" w:cs="Garamond"/>
          <w:lang w:eastAsia="es-ES"/>
        </w:rPr>
        <w:t>Lo anterior se realiza sin perjuicio de las competencias del Ministerio de Ambiente y Energía (MINAE), como autoridad competente en la administración, regulación y control del recurso hídrico, de conformidad con la Ley de Aguas, Ley N.° 276, y la normativa ambiental vigente. En este sentido, toda modificación en el uso, captación o volumen de agua deberá ajustarse al régimen de concesiones para el aprovechamiento de aguas, requiriendo, cuando corresponda, la respectiva concesión o autorización otorgada por el MINAE, así como el cumplimiento de los principios de sostenibilidad, protección ambiental y uso racional del recurso hídrico.</w:t>
      </w:r>
    </w:p>
    <w:p w14:paraId="7FAA68E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eastAsia="es-ES"/>
        </w:rPr>
        <w:lastRenderedPageBreak/>
        <w:t>Por lo tanto, el desarrollo de propuestas de mejora y proyectos, en el marco de un estudio técnico, permitirá definir y ejecutar actividades que incidan directamente en la atención de las principales consecuencias del problema o necesidad identificada en la ASADA, o en el desarrollo que se pretende implementar en un momento determinado.</w:t>
      </w:r>
    </w:p>
    <w:p w14:paraId="4787FEAD"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Producto 2 del Objetivo Específico 2 y 5</w:t>
      </w:r>
    </w:p>
    <w:p w14:paraId="4741FDB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9AEA779"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Planos de construcción</w:t>
      </w:r>
      <w:r w:rsidRPr="00B853B5">
        <w:rPr>
          <w:rFonts w:ascii="Garamond" w:eastAsia="Garamond" w:hAnsi="Garamond" w:cs="Garamond"/>
          <w:lang w:val="es-ES_tradnl" w:eastAsia="es-ES"/>
        </w:rPr>
        <w:t xml:space="preserve"> de las obras a construir con sus dimensiones y cantidades detalladas que permitan mejorar el servicio de agua potable mediante un nuevo sistema integrado y con las mejoras y ampliaciones de los acueductos actuales de las ASADAS en la etapa de ejecución. </w:t>
      </w:r>
    </w:p>
    <w:p w14:paraId="4C5BB8E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5D2527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Los planos de construcción deben describir tanto la infraestructura existente como de las obras de mejora de cada uno de los sistemas de los acueductos y según los resultados de los estudios técnicos. </w:t>
      </w:r>
    </w:p>
    <w:p w14:paraId="20B3389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68EAEB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Oferente deberá registrar los planos de construcción ante el CFIA y adjuntar el contrato de consultoría realizada ante esta entidad. </w:t>
      </w:r>
    </w:p>
    <w:p w14:paraId="7AD20669"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64CD91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registro de los planos se deberá realizar en la plataforma APC del CFIA, bajo la modalidad de Proyecto “Obras Acueductos” y Subproyecto “Obras de ramal”. Los planos de construcción deberán ser visados y sellados por las instituciones competentes. El pago de los trámites y sellos de construcción debe ser realizado por parte del Oferente y según la tasación realizada por el CFIA. </w:t>
      </w:r>
    </w:p>
    <w:p w14:paraId="2D3207D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362FEC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Además, el Oferente debe entregar las </w:t>
      </w:r>
      <w:r w:rsidRPr="00B853B5">
        <w:rPr>
          <w:rFonts w:ascii="Garamond" w:eastAsia="Garamond" w:hAnsi="Garamond" w:cs="Garamond"/>
          <w:b/>
          <w:lang w:val="es-ES_tradnl" w:eastAsia="es-ES"/>
        </w:rPr>
        <w:t>Especificaciones Técnicas</w:t>
      </w:r>
      <w:r w:rsidRPr="00B853B5">
        <w:rPr>
          <w:rFonts w:ascii="Garamond" w:eastAsia="Garamond" w:hAnsi="Garamond" w:cs="Garamond"/>
          <w:lang w:val="es-ES_tradnl" w:eastAsia="es-ES"/>
        </w:rPr>
        <w:t xml:space="preserve"> de los equipos y materiales de construcción de todas las obras descritas en los planos de construcción y según los resultados de los Estudios Técnicos.</w:t>
      </w:r>
    </w:p>
    <w:p w14:paraId="37D4B298"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 determina que se debe entregar los planos de construcción y especificaciones técnicas por cada acueducto de las siguientes Asociaciones Administradoras de Sistemas de Acueductos y Alcantarillados Comunales:</w:t>
      </w:r>
    </w:p>
    <w:p w14:paraId="75D441C4"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Asada Volcán </w:t>
      </w:r>
    </w:p>
    <w:p w14:paraId="6AEBE028"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El Carmen</w:t>
      </w:r>
    </w:p>
    <w:p w14:paraId="7603445B"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La Amistad</w:t>
      </w:r>
    </w:p>
    <w:p w14:paraId="76625190"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Helechales-Potrero Grande</w:t>
      </w:r>
    </w:p>
    <w:p w14:paraId="34E000EB"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Concepción de Pilas</w:t>
      </w:r>
    </w:p>
    <w:p w14:paraId="108FF7BD" w14:textId="77777777" w:rsidR="00B853B5" w:rsidRDefault="00B853B5" w:rsidP="00B853B5">
      <w:pPr>
        <w:tabs>
          <w:tab w:val="left" w:pos="426"/>
        </w:tabs>
        <w:spacing w:before="120" w:after="0" w:line="240" w:lineRule="auto"/>
        <w:ind w:left="720"/>
        <w:contextualSpacing/>
        <w:jc w:val="both"/>
        <w:rPr>
          <w:rFonts w:ascii="Garamond" w:eastAsia="Garamond" w:hAnsi="Garamond" w:cs="Garamond"/>
          <w:lang w:val="es-ES" w:eastAsia="en-US"/>
        </w:rPr>
      </w:pPr>
    </w:p>
    <w:p w14:paraId="73BC901E"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0E0D70EC"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20E6B675"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67D7084F"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5E94D0B1"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217D4173"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2D20E49E"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35CB6D7F"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716FAE34"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5CA6B5BF"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7E203A8F"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2A02ACB0"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1249183D"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6A119246"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19DA712E"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3A2ADA30"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5FD21BE0" w14:textId="77777777" w:rsidR="005171AB"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12055E4A" w14:textId="77777777" w:rsidR="005171AB" w:rsidRPr="00B853B5" w:rsidRDefault="005171AB" w:rsidP="00B853B5">
      <w:pPr>
        <w:tabs>
          <w:tab w:val="left" w:pos="426"/>
        </w:tabs>
        <w:spacing w:before="120" w:after="0" w:line="240" w:lineRule="auto"/>
        <w:ind w:left="720"/>
        <w:contextualSpacing/>
        <w:jc w:val="both"/>
        <w:rPr>
          <w:rFonts w:ascii="Garamond" w:eastAsia="Garamond" w:hAnsi="Garamond" w:cs="Garamond"/>
          <w:lang w:val="es-ES" w:eastAsia="en-US"/>
        </w:rPr>
      </w:pPr>
    </w:p>
    <w:p w14:paraId="7E1FC242" w14:textId="64298DD0"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20</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Productos esperados de los objetivos específicos 2 y 5</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78"/>
        <w:gridCol w:w="2479"/>
        <w:gridCol w:w="3871"/>
      </w:tblGrid>
      <w:tr w:rsidR="00B853B5" w:rsidRPr="00B853B5" w14:paraId="2E8919B3" w14:textId="77777777" w:rsidTr="00EF750D">
        <w:tc>
          <w:tcPr>
            <w:tcW w:w="2478" w:type="dxa"/>
            <w:tcBorders>
              <w:bottom w:val="single" w:sz="12" w:space="0" w:color="9CC2E5"/>
            </w:tcBorders>
          </w:tcPr>
          <w:p w14:paraId="236C4B73"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Objetivo Específico</w:t>
            </w:r>
          </w:p>
        </w:tc>
        <w:tc>
          <w:tcPr>
            <w:tcW w:w="2479" w:type="dxa"/>
            <w:tcBorders>
              <w:bottom w:val="single" w:sz="12" w:space="0" w:color="9CC2E5"/>
            </w:tcBorders>
          </w:tcPr>
          <w:p w14:paraId="0C973CCB"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Producto 2</w:t>
            </w:r>
          </w:p>
        </w:tc>
        <w:tc>
          <w:tcPr>
            <w:tcW w:w="3871" w:type="dxa"/>
            <w:tcBorders>
              <w:bottom w:val="single" w:sz="12" w:space="0" w:color="9CC2E5"/>
            </w:tcBorders>
          </w:tcPr>
          <w:p w14:paraId="2103EC33"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Sub productos</w:t>
            </w:r>
          </w:p>
        </w:tc>
      </w:tr>
      <w:tr w:rsidR="00B853B5" w:rsidRPr="00B853B5" w14:paraId="55A9FA8F" w14:textId="77777777" w:rsidTr="00EF750D">
        <w:tc>
          <w:tcPr>
            <w:tcW w:w="2478" w:type="dxa"/>
            <w:vMerge w:val="restart"/>
            <w:vAlign w:val="center"/>
          </w:tcPr>
          <w:p w14:paraId="5CABB234"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2 y 5</w:t>
            </w:r>
          </w:p>
        </w:tc>
        <w:tc>
          <w:tcPr>
            <w:tcW w:w="2479" w:type="dxa"/>
            <w:vMerge w:val="restart"/>
            <w:vAlign w:val="center"/>
          </w:tcPr>
          <w:p w14:paraId="41E06E59"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Planos de construcción y especificaciones técnicas</w:t>
            </w:r>
          </w:p>
        </w:tc>
        <w:tc>
          <w:tcPr>
            <w:tcW w:w="3871" w:type="dxa"/>
          </w:tcPr>
          <w:p w14:paraId="59F63707"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2.1 Planos de construcción y especificaciones técnicas del Acueducto de la Asada  Volcán</w:t>
            </w:r>
          </w:p>
        </w:tc>
      </w:tr>
      <w:tr w:rsidR="00B853B5" w:rsidRPr="00B853B5" w14:paraId="2A11498F" w14:textId="77777777" w:rsidTr="00EF750D">
        <w:tc>
          <w:tcPr>
            <w:tcW w:w="2478" w:type="dxa"/>
            <w:vMerge/>
          </w:tcPr>
          <w:p w14:paraId="74FE12D1"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5224D815"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6A8276B7"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2.2 Planos de construcción y especificaciones técnicas del Acueducto de la Asada  El Carmen</w:t>
            </w:r>
          </w:p>
        </w:tc>
      </w:tr>
      <w:tr w:rsidR="00B853B5" w:rsidRPr="00B853B5" w14:paraId="1F77D1C7" w14:textId="77777777" w:rsidTr="00EF750D">
        <w:tc>
          <w:tcPr>
            <w:tcW w:w="2478" w:type="dxa"/>
            <w:vMerge/>
          </w:tcPr>
          <w:p w14:paraId="743FCF2F"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4EFC2EEA"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3BA0B621"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2.3 Planos de construcción y especificaciones técnicas del Acueducto de la Asada  La Amistad</w:t>
            </w:r>
          </w:p>
        </w:tc>
      </w:tr>
      <w:tr w:rsidR="00B853B5" w:rsidRPr="00B853B5" w14:paraId="45207354" w14:textId="77777777" w:rsidTr="00EF750D">
        <w:tc>
          <w:tcPr>
            <w:tcW w:w="2478" w:type="dxa"/>
            <w:vMerge/>
          </w:tcPr>
          <w:p w14:paraId="52B78533"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657DE16C"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293DDBA8"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2.4 Planos de construcción y especificaciones técnicas del Acueducto de la Asada  Helechales-Potrero Grande</w:t>
            </w:r>
          </w:p>
        </w:tc>
      </w:tr>
      <w:tr w:rsidR="00B853B5" w:rsidRPr="00B853B5" w14:paraId="4FF78DA6" w14:textId="77777777" w:rsidTr="00EF750D">
        <w:tc>
          <w:tcPr>
            <w:tcW w:w="2478" w:type="dxa"/>
            <w:vMerge/>
          </w:tcPr>
          <w:p w14:paraId="08F5394E"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42A42C5E"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2F46F37B"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Producto 2.5 Planos de construcción y especificaciones técnicas del Acueducto de la Asada  Concepción de Pilas </w:t>
            </w:r>
          </w:p>
        </w:tc>
      </w:tr>
    </w:tbl>
    <w:p w14:paraId="6701FC95"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Elaboración propia</w:t>
      </w:r>
    </w:p>
    <w:p w14:paraId="5243D3D1"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Producto 3 del Objetivo Específico 6</w:t>
      </w:r>
    </w:p>
    <w:p w14:paraId="0F21E42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23A5CE0"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Presupuesto detallado</w:t>
      </w:r>
      <w:r w:rsidRPr="00B853B5">
        <w:rPr>
          <w:rFonts w:ascii="Garamond" w:eastAsia="Garamond" w:hAnsi="Garamond" w:cs="Garamond"/>
          <w:lang w:val="es-ES_tradnl" w:eastAsia="es-ES"/>
        </w:rPr>
        <w:t xml:space="preserve"> de las obras de mejoras en cada caso que se requieran con el desglose detallado de los montos por etapas y en orden de importancia, y según el detalle de los planos de construcción aprobados y las especificaciones técnicas respectivas. </w:t>
      </w:r>
    </w:p>
    <w:p w14:paraId="3409B366"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 determina que se debe entregar un presupuesto de las obras por cada acueducto de las siguientes Asociaciones Administradoras de Sistemas de Acueductos y Alcantarillados Comunales:</w:t>
      </w:r>
    </w:p>
    <w:p w14:paraId="73342878"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Asada Volcán </w:t>
      </w:r>
    </w:p>
    <w:p w14:paraId="33016A52"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El Carmen</w:t>
      </w:r>
    </w:p>
    <w:p w14:paraId="5858A6D3"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La Amistad</w:t>
      </w:r>
    </w:p>
    <w:p w14:paraId="5C04E117"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Helechales-Potrero Grande</w:t>
      </w:r>
    </w:p>
    <w:p w14:paraId="423C1389"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Concepción de Pilas</w:t>
      </w:r>
    </w:p>
    <w:p w14:paraId="15C642FE" w14:textId="77777777" w:rsidR="00B853B5" w:rsidRPr="00B853B5" w:rsidRDefault="00B853B5" w:rsidP="00B853B5">
      <w:pPr>
        <w:tabs>
          <w:tab w:val="left" w:pos="426"/>
        </w:tabs>
        <w:spacing w:before="120" w:after="0" w:line="240" w:lineRule="auto"/>
        <w:ind w:left="720"/>
        <w:contextualSpacing/>
        <w:jc w:val="both"/>
        <w:rPr>
          <w:rFonts w:ascii="Garamond" w:eastAsia="Garamond" w:hAnsi="Garamond" w:cs="Garamond"/>
          <w:lang w:val="es-ES" w:eastAsia="en-US"/>
        </w:rPr>
      </w:pPr>
    </w:p>
    <w:p w14:paraId="7204C40A" w14:textId="06A790ED"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21</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Productos esperados del objetivo específico 6</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78"/>
        <w:gridCol w:w="2479"/>
        <w:gridCol w:w="3871"/>
      </w:tblGrid>
      <w:tr w:rsidR="00B853B5" w:rsidRPr="00B853B5" w14:paraId="3FDEF73A" w14:textId="77777777" w:rsidTr="00EF750D">
        <w:tc>
          <w:tcPr>
            <w:tcW w:w="2478" w:type="dxa"/>
            <w:tcBorders>
              <w:bottom w:val="single" w:sz="12" w:space="0" w:color="9CC2E5"/>
            </w:tcBorders>
          </w:tcPr>
          <w:p w14:paraId="3BE1B58F"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Objetivo Específico</w:t>
            </w:r>
          </w:p>
        </w:tc>
        <w:tc>
          <w:tcPr>
            <w:tcW w:w="2479" w:type="dxa"/>
            <w:tcBorders>
              <w:bottom w:val="single" w:sz="12" w:space="0" w:color="9CC2E5"/>
            </w:tcBorders>
          </w:tcPr>
          <w:p w14:paraId="5CFF0797"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Producto 3</w:t>
            </w:r>
          </w:p>
        </w:tc>
        <w:tc>
          <w:tcPr>
            <w:tcW w:w="3871" w:type="dxa"/>
            <w:tcBorders>
              <w:bottom w:val="single" w:sz="12" w:space="0" w:color="9CC2E5"/>
            </w:tcBorders>
          </w:tcPr>
          <w:p w14:paraId="3ED30120"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Sub productos</w:t>
            </w:r>
          </w:p>
        </w:tc>
      </w:tr>
      <w:tr w:rsidR="00B853B5" w:rsidRPr="00B853B5" w14:paraId="4F850180" w14:textId="77777777" w:rsidTr="00EF750D">
        <w:tc>
          <w:tcPr>
            <w:tcW w:w="2478" w:type="dxa"/>
            <w:vMerge w:val="restart"/>
            <w:vAlign w:val="center"/>
          </w:tcPr>
          <w:p w14:paraId="67BF344D"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6</w:t>
            </w:r>
          </w:p>
        </w:tc>
        <w:tc>
          <w:tcPr>
            <w:tcW w:w="2479" w:type="dxa"/>
            <w:vMerge w:val="restart"/>
            <w:vAlign w:val="center"/>
          </w:tcPr>
          <w:p w14:paraId="2D464BB6"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Presupuesto detallado</w:t>
            </w:r>
          </w:p>
        </w:tc>
        <w:tc>
          <w:tcPr>
            <w:tcW w:w="3871" w:type="dxa"/>
          </w:tcPr>
          <w:p w14:paraId="7CD34182"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3.1 Presupuesto detallado de las obras del Acueducto de la Asada  Volcán</w:t>
            </w:r>
          </w:p>
        </w:tc>
      </w:tr>
      <w:tr w:rsidR="00B853B5" w:rsidRPr="00B853B5" w14:paraId="449C63CB" w14:textId="77777777" w:rsidTr="00EF750D">
        <w:tc>
          <w:tcPr>
            <w:tcW w:w="2478" w:type="dxa"/>
            <w:vMerge/>
          </w:tcPr>
          <w:p w14:paraId="3C976D48"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18483E92"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26953198"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3.2 Presupuesto detallado de las obras del Acueducto de la Asada  El Carmen</w:t>
            </w:r>
          </w:p>
        </w:tc>
      </w:tr>
      <w:tr w:rsidR="00B853B5" w:rsidRPr="00B853B5" w14:paraId="399EF064" w14:textId="77777777" w:rsidTr="00EF750D">
        <w:tc>
          <w:tcPr>
            <w:tcW w:w="2478" w:type="dxa"/>
            <w:vMerge/>
          </w:tcPr>
          <w:p w14:paraId="3EAD38D7"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166A5EA2"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09BD2E1E"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3.3 Presupuesto detallado de las obras del Acueducto de la Asada  La Amistad</w:t>
            </w:r>
          </w:p>
        </w:tc>
      </w:tr>
      <w:tr w:rsidR="00B853B5" w:rsidRPr="00B853B5" w14:paraId="1BC8A98F" w14:textId="77777777" w:rsidTr="00EF750D">
        <w:tc>
          <w:tcPr>
            <w:tcW w:w="2478" w:type="dxa"/>
            <w:vMerge/>
          </w:tcPr>
          <w:p w14:paraId="21790EB6"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3C36228D"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03D84B2D"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3.4 Presupuesto detallado de las obras del Acueducto de la Asada  Helechales-Potrero Grande</w:t>
            </w:r>
          </w:p>
        </w:tc>
      </w:tr>
      <w:tr w:rsidR="00B853B5" w:rsidRPr="00B853B5" w14:paraId="573FF52A" w14:textId="77777777" w:rsidTr="00EF750D">
        <w:tc>
          <w:tcPr>
            <w:tcW w:w="2478" w:type="dxa"/>
            <w:vMerge/>
          </w:tcPr>
          <w:p w14:paraId="7C1D8CDE"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14B20A27"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0D3C240E"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Producto 3.5 Presupuesto detallado de las obras del Acueducto de la Asada  Concepción de Pilas </w:t>
            </w:r>
          </w:p>
        </w:tc>
      </w:tr>
    </w:tbl>
    <w:p w14:paraId="4BAD426B"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Elaboración propia</w:t>
      </w:r>
    </w:p>
    <w:p w14:paraId="50D9EDDE"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Producto 4 del Objetivo Específico 3</w:t>
      </w:r>
    </w:p>
    <w:p w14:paraId="5387462C"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79BEEBD"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Estudios de Impacto Ambiental</w:t>
      </w:r>
      <w:r w:rsidRPr="00B853B5">
        <w:rPr>
          <w:rFonts w:ascii="Garamond" w:eastAsia="Garamond" w:hAnsi="Garamond" w:cs="Garamond"/>
          <w:lang w:val="es-ES_tradnl" w:eastAsia="es-ES"/>
        </w:rPr>
        <w:t xml:space="preserve"> que identifique los impactos de cada uno de los proyectos y que se pueden generar en el ambiente, así como describa las medidas de intervención que dichos impactos requerirían y sus costos, los cuales deben ser llevados a las evaluaciones: financiera, costos y económica social del proyecto. </w:t>
      </w:r>
    </w:p>
    <w:p w14:paraId="04227998"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399F60C9"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w:t>
      </w:r>
      <w:r w:rsidRPr="00B853B5">
        <w:rPr>
          <w:rFonts w:ascii="Garamond" w:eastAsia="Garamond" w:hAnsi="Garamond" w:cs="Garamond"/>
          <w:b/>
          <w:lang w:val="es-ES_tradnl" w:eastAsia="es-ES"/>
        </w:rPr>
        <w:t xml:space="preserve">OFERENTE </w:t>
      </w:r>
      <w:r w:rsidRPr="00B853B5">
        <w:rPr>
          <w:rFonts w:ascii="Garamond" w:eastAsia="Garamond" w:hAnsi="Garamond" w:cs="Garamond"/>
          <w:lang w:val="es-ES_tradnl" w:eastAsia="es-ES"/>
        </w:rPr>
        <w:t xml:space="preserve">deberá velar que las obras de ejecución de las mejoras de los acueductos, descritas en los planos de construcción y según las especificaciones técnicas resultado de los estudios técnicos, se escojan las alternativas que mejor se adecuan al medio ambiente para asegurar la armonización del proyecto con la protección de los recursos naturales. </w:t>
      </w:r>
    </w:p>
    <w:p w14:paraId="3250CB13"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608B5963"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Los resultados posteriormente se integrarán en el análisis de riesgos de impacto ambiental para su cuantificación y posterior identificación de las medidas de mitigación requeridas. </w:t>
      </w:r>
    </w:p>
    <w:p w14:paraId="5CF121BA"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29A7B297"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Por lo tanto, el </w:t>
      </w:r>
      <w:r w:rsidRPr="00B853B5">
        <w:rPr>
          <w:rFonts w:ascii="Garamond" w:eastAsia="Garamond" w:hAnsi="Garamond" w:cs="Garamond"/>
          <w:b/>
          <w:lang w:val="es-ES_tradnl" w:eastAsia="es-ES"/>
        </w:rPr>
        <w:t>OFERENTE</w:t>
      </w:r>
      <w:r w:rsidRPr="00B853B5">
        <w:rPr>
          <w:rFonts w:ascii="Garamond" w:eastAsia="Garamond" w:hAnsi="Garamond" w:cs="Garamond"/>
          <w:lang w:val="es-ES_tradnl" w:eastAsia="es-ES"/>
        </w:rPr>
        <w:t xml:space="preserve"> deberá identificar cada una de las posibles alternativas de cada uno de los proyectos de mejoras del acueducto y que se adecúan en relación con las condiciones ambientales observadas y los efectos que estas pudieran generar, de tal manera, que se puedan descartar aquellas que no cumplan con los requerimientos ambientales. </w:t>
      </w:r>
    </w:p>
    <w:p w14:paraId="217B126A"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97E31E5"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metodología que se debe utilizar para identificar y valorar los impactos al medio ambiente corresponde a la indicada en el Manual de Instrumentos Técnicos para el Proceso de Evaluación del Impacto Ambiental (Decreto Ejecutivo 32966)19, particularmente los Anexos 1 y 2: </w:t>
      </w:r>
      <w:r w:rsidRPr="00B853B5">
        <w:rPr>
          <w:rFonts w:ascii="Garamond" w:eastAsia="Garamond" w:hAnsi="Garamond" w:cs="Garamond"/>
          <w:i/>
          <w:lang w:val="es-ES_tradnl" w:eastAsia="es-ES"/>
        </w:rPr>
        <w:t xml:space="preserve">“Guía General para la elaboración de instrumentos de Evaluación de Impacto Ambiental” </w:t>
      </w:r>
      <w:r w:rsidRPr="00B853B5">
        <w:rPr>
          <w:rFonts w:ascii="Garamond" w:eastAsia="Garamond" w:hAnsi="Garamond" w:cs="Garamond"/>
          <w:lang w:val="es-ES_tradnl" w:eastAsia="es-ES"/>
        </w:rPr>
        <w:t xml:space="preserve">e </w:t>
      </w:r>
      <w:r w:rsidRPr="00B853B5">
        <w:rPr>
          <w:rFonts w:ascii="Garamond" w:eastAsia="Garamond" w:hAnsi="Garamond" w:cs="Garamond"/>
          <w:i/>
          <w:lang w:val="es-ES_tradnl" w:eastAsia="es-ES"/>
        </w:rPr>
        <w:t>“Instructivo para la Valoración de Impactos Ambientales</w:t>
      </w:r>
      <w:r w:rsidRPr="00B853B5">
        <w:rPr>
          <w:rFonts w:ascii="Garamond" w:eastAsia="Garamond" w:hAnsi="Garamond" w:cs="Garamond"/>
          <w:lang w:val="es-ES_tradnl" w:eastAsia="es-ES"/>
        </w:rPr>
        <w:t>”, respectivamente.</w:t>
      </w:r>
    </w:p>
    <w:p w14:paraId="494CD94F"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2439919B"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Dado que el proyecto se encuentra en etapa de prefactibilidad, se debe: </w:t>
      </w:r>
    </w:p>
    <w:p w14:paraId="4F939BFC"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6CD3E09F"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Times New Roman"/>
          <w:lang w:val="es-ES_tradnl" w:eastAsia="es-ES"/>
        </w:rPr>
        <w:t>●</w:t>
      </w:r>
      <w:r w:rsidRPr="00B853B5">
        <w:rPr>
          <w:rFonts w:ascii="Garamond" w:eastAsia="Garamond" w:hAnsi="Garamond" w:cs="Garamond"/>
          <w:lang w:val="es-ES_tradnl" w:eastAsia="es-ES"/>
        </w:rPr>
        <w:t xml:space="preserve"> Elaborar los estudios requeridos para completar el Documento D1 o D2 dependiendo de la categor</w:t>
      </w:r>
      <w:r w:rsidRPr="00B853B5">
        <w:rPr>
          <w:rFonts w:ascii="Garamond" w:eastAsia="Garamond" w:hAnsi="Garamond" w:cs="Sitka Small"/>
          <w:lang w:val="es-ES_tradnl" w:eastAsia="es-ES"/>
        </w:rPr>
        <w:t>í</w:t>
      </w:r>
      <w:r w:rsidRPr="00B853B5">
        <w:rPr>
          <w:rFonts w:ascii="Garamond" w:eastAsia="Garamond" w:hAnsi="Garamond" w:cs="Garamond"/>
          <w:lang w:val="es-ES_tradnl" w:eastAsia="es-ES"/>
        </w:rPr>
        <w:t xml:space="preserve">a del Impacto Ambiental Potencial (IAP) e incluirlo como anexo al estudio del proyecto. </w:t>
      </w:r>
    </w:p>
    <w:p w14:paraId="175D17F2"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Times New Roman"/>
          <w:lang w:val="es-ES_tradnl" w:eastAsia="es-ES"/>
        </w:rPr>
        <w:t>●</w:t>
      </w:r>
      <w:r w:rsidRPr="00B853B5">
        <w:rPr>
          <w:rFonts w:ascii="Garamond" w:eastAsia="Garamond" w:hAnsi="Garamond" w:cs="Garamond"/>
          <w:lang w:val="es-ES_tradnl" w:eastAsia="es-ES"/>
        </w:rPr>
        <w:t xml:space="preserve"> Presentar el D1 o D2 a SETENA para su an</w:t>
      </w:r>
      <w:r w:rsidRPr="00B853B5">
        <w:rPr>
          <w:rFonts w:ascii="Garamond" w:eastAsia="Garamond" w:hAnsi="Garamond" w:cs="Sitka Small"/>
          <w:lang w:val="es-ES_tradnl" w:eastAsia="es-ES"/>
        </w:rPr>
        <w:t>á</w:t>
      </w:r>
      <w:r w:rsidRPr="00B853B5">
        <w:rPr>
          <w:rFonts w:ascii="Garamond" w:eastAsia="Garamond" w:hAnsi="Garamond" w:cs="Garamond"/>
          <w:lang w:val="es-ES_tradnl" w:eastAsia="es-ES"/>
        </w:rPr>
        <w:t>lisis y evaluaci</w:t>
      </w:r>
      <w:r w:rsidRPr="00B853B5">
        <w:rPr>
          <w:rFonts w:ascii="Garamond" w:eastAsia="Garamond" w:hAnsi="Garamond" w:cs="Sitka Small"/>
          <w:lang w:val="es-ES_tradnl" w:eastAsia="es-ES"/>
        </w:rPr>
        <w:t>ó</w:t>
      </w:r>
      <w:r w:rsidRPr="00B853B5">
        <w:rPr>
          <w:rFonts w:ascii="Garamond" w:eastAsia="Garamond" w:hAnsi="Garamond" w:cs="Garamond"/>
          <w:lang w:val="es-ES_tradnl" w:eastAsia="es-ES"/>
        </w:rPr>
        <w:t xml:space="preserve">n. </w:t>
      </w:r>
    </w:p>
    <w:p w14:paraId="696C4CD8"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7ACCE191"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esta fase del proyecto no se solicitará la Viabilidad Ambiental por parte de SETENA de cada uno de los acueductos de las Asadas, sino hasta la fase de ejecución del mismo. Dado que el proyecto se encuentra en la etapa de preinversión, se solicitará al </w:t>
      </w:r>
      <w:r w:rsidRPr="00B853B5">
        <w:rPr>
          <w:rFonts w:ascii="Garamond" w:eastAsia="Garamond" w:hAnsi="Garamond" w:cs="Garamond"/>
          <w:b/>
          <w:lang w:val="es-ES_tradnl" w:eastAsia="es-ES"/>
        </w:rPr>
        <w:t>OFERENTE</w:t>
      </w:r>
      <w:r w:rsidRPr="00B853B5">
        <w:rPr>
          <w:rFonts w:ascii="Garamond" w:eastAsia="Garamond" w:hAnsi="Garamond" w:cs="Garamond"/>
          <w:lang w:val="es-ES_tradnl" w:eastAsia="es-ES"/>
        </w:rPr>
        <w:t xml:space="preserve"> el entregable del Estudio de Impacto Ambiental.  </w:t>
      </w:r>
    </w:p>
    <w:p w14:paraId="20F6757C"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Se determina que se debe entregar un estudio de impacto ambiental por cada acueducto de las siguientes Asociaciones Administradoras de Sistemas de Acueductos y Alcantarillados Comunales:</w:t>
      </w:r>
    </w:p>
    <w:p w14:paraId="2A05C8A0"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Asada Volcán </w:t>
      </w:r>
    </w:p>
    <w:p w14:paraId="3AEE6CE7"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El Carmen</w:t>
      </w:r>
    </w:p>
    <w:p w14:paraId="67D4BE65"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La Amistad</w:t>
      </w:r>
    </w:p>
    <w:p w14:paraId="679918C8"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Asada Helechales-Potrero Grande</w:t>
      </w:r>
    </w:p>
    <w:p w14:paraId="7758A6AA" w14:textId="77777777" w:rsidR="00B853B5" w:rsidRPr="00B853B5" w:rsidRDefault="00B853B5" w:rsidP="00B853B5">
      <w:pPr>
        <w:numPr>
          <w:ilvl w:val="0"/>
          <w:numId w:val="39"/>
        </w:numPr>
        <w:tabs>
          <w:tab w:val="left" w:pos="426"/>
        </w:tabs>
        <w:spacing w:before="120"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Asada Concepción de Pilas</w:t>
      </w:r>
    </w:p>
    <w:p w14:paraId="1EFECB2F" w14:textId="77777777" w:rsidR="00B853B5" w:rsidRPr="00B853B5" w:rsidRDefault="00B853B5" w:rsidP="00B853B5">
      <w:pPr>
        <w:tabs>
          <w:tab w:val="left" w:pos="426"/>
        </w:tabs>
        <w:spacing w:before="120" w:after="0" w:line="240" w:lineRule="auto"/>
        <w:ind w:left="720"/>
        <w:contextualSpacing/>
        <w:jc w:val="both"/>
        <w:rPr>
          <w:rFonts w:ascii="Garamond" w:eastAsia="Garamond" w:hAnsi="Garamond" w:cs="Garamond"/>
          <w:lang w:val="es-ES" w:eastAsia="en-US"/>
        </w:rPr>
      </w:pPr>
    </w:p>
    <w:p w14:paraId="2FC594A1" w14:textId="62155EB5"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 xml:space="preserve">Tabla </w:t>
      </w:r>
      <w:r w:rsidRPr="00B853B5">
        <w:rPr>
          <w:rFonts w:ascii="Garamond" w:eastAsia="Garamond" w:hAnsi="Garamond" w:cs="Garamond"/>
          <w:i/>
          <w:lang w:val="es-ES_tradnl" w:eastAsia="es-ES"/>
        </w:rPr>
        <w:fldChar w:fldCharType="begin"/>
      </w:r>
      <w:r w:rsidRPr="00B853B5">
        <w:rPr>
          <w:rFonts w:ascii="Garamond" w:eastAsia="Garamond" w:hAnsi="Garamond" w:cs="Garamond"/>
          <w:i/>
          <w:lang w:val="es-ES_tradnl" w:eastAsia="es-ES"/>
        </w:rPr>
        <w:instrText xml:space="preserve"> SEQ Tabla \* ARABIC </w:instrText>
      </w:r>
      <w:r w:rsidRPr="00B853B5">
        <w:rPr>
          <w:rFonts w:ascii="Garamond" w:eastAsia="Garamond" w:hAnsi="Garamond" w:cs="Garamond"/>
          <w:i/>
          <w:lang w:val="es-ES_tradnl" w:eastAsia="es-ES"/>
        </w:rPr>
        <w:fldChar w:fldCharType="separate"/>
      </w:r>
      <w:r w:rsidR="003D5694">
        <w:rPr>
          <w:rFonts w:ascii="Garamond" w:eastAsia="Garamond" w:hAnsi="Garamond" w:cs="Garamond"/>
          <w:i/>
          <w:noProof/>
          <w:lang w:val="es-ES_tradnl" w:eastAsia="es-ES"/>
        </w:rPr>
        <w:t>22</w:t>
      </w:r>
      <w:r w:rsidRPr="00B853B5">
        <w:rPr>
          <w:rFonts w:ascii="Garamond" w:eastAsia="Garamond" w:hAnsi="Garamond" w:cs="Garamond"/>
          <w:i/>
          <w:lang w:val="es-ES_tradnl" w:eastAsia="es-ES"/>
        </w:rPr>
        <w:fldChar w:fldCharType="end"/>
      </w:r>
      <w:r w:rsidRPr="00B853B5">
        <w:rPr>
          <w:rFonts w:ascii="Garamond" w:eastAsia="Garamond" w:hAnsi="Garamond" w:cs="Garamond"/>
          <w:i/>
          <w:lang w:val="es-ES_tradnl" w:eastAsia="es-ES"/>
        </w:rPr>
        <w:t>. Productos esperados del objetivo específico 3</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78"/>
        <w:gridCol w:w="2479"/>
        <w:gridCol w:w="3871"/>
      </w:tblGrid>
      <w:tr w:rsidR="00B853B5" w:rsidRPr="00B853B5" w14:paraId="3FB6A776" w14:textId="77777777" w:rsidTr="00EF750D">
        <w:tc>
          <w:tcPr>
            <w:tcW w:w="2478" w:type="dxa"/>
            <w:tcBorders>
              <w:bottom w:val="single" w:sz="12" w:space="0" w:color="9CC2E5"/>
            </w:tcBorders>
          </w:tcPr>
          <w:p w14:paraId="49E3B410"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Objetivo Específico</w:t>
            </w:r>
          </w:p>
        </w:tc>
        <w:tc>
          <w:tcPr>
            <w:tcW w:w="2479" w:type="dxa"/>
            <w:tcBorders>
              <w:bottom w:val="single" w:sz="12" w:space="0" w:color="9CC2E5"/>
            </w:tcBorders>
          </w:tcPr>
          <w:p w14:paraId="3F7F9FE8"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Producto 3</w:t>
            </w:r>
          </w:p>
        </w:tc>
        <w:tc>
          <w:tcPr>
            <w:tcW w:w="3871" w:type="dxa"/>
            <w:tcBorders>
              <w:bottom w:val="single" w:sz="12" w:space="0" w:color="9CC2E5"/>
            </w:tcBorders>
          </w:tcPr>
          <w:p w14:paraId="1E2655CF"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Sub productos</w:t>
            </w:r>
          </w:p>
        </w:tc>
      </w:tr>
      <w:tr w:rsidR="00B853B5" w:rsidRPr="00B853B5" w14:paraId="23F72BD5" w14:textId="77777777" w:rsidTr="00EF750D">
        <w:tc>
          <w:tcPr>
            <w:tcW w:w="2478" w:type="dxa"/>
            <w:vMerge w:val="restart"/>
            <w:vAlign w:val="center"/>
          </w:tcPr>
          <w:p w14:paraId="5D433BB9" w14:textId="77777777" w:rsidR="00B853B5" w:rsidRPr="00B853B5" w:rsidRDefault="00B853B5" w:rsidP="00B853B5">
            <w:pPr>
              <w:tabs>
                <w:tab w:val="left" w:pos="426"/>
              </w:tabs>
              <w:spacing w:before="120" w:after="0" w:line="240" w:lineRule="auto"/>
              <w:jc w:val="center"/>
              <w:rPr>
                <w:rFonts w:ascii="Garamond" w:eastAsia="Garamond" w:hAnsi="Garamond" w:cs="Garamond"/>
                <w:b/>
                <w:bCs/>
                <w:lang w:val="es-ES_tradnl" w:eastAsia="es-ES"/>
              </w:rPr>
            </w:pPr>
            <w:r w:rsidRPr="00B853B5">
              <w:rPr>
                <w:rFonts w:ascii="Garamond" w:eastAsia="Garamond" w:hAnsi="Garamond" w:cs="Garamond"/>
                <w:b/>
                <w:bCs/>
                <w:lang w:val="es-ES_tradnl" w:eastAsia="es-ES"/>
              </w:rPr>
              <w:t>3</w:t>
            </w:r>
          </w:p>
        </w:tc>
        <w:tc>
          <w:tcPr>
            <w:tcW w:w="2479" w:type="dxa"/>
            <w:vMerge w:val="restart"/>
            <w:vAlign w:val="center"/>
          </w:tcPr>
          <w:p w14:paraId="77570A96"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r w:rsidRPr="00B853B5">
              <w:rPr>
                <w:rFonts w:ascii="Garamond" w:eastAsia="Garamond" w:hAnsi="Garamond" w:cs="Garamond"/>
                <w:lang w:val="es-ES_tradnl" w:eastAsia="es-ES"/>
              </w:rPr>
              <w:t>Estudio de Impacto Ambiental</w:t>
            </w:r>
          </w:p>
        </w:tc>
        <w:tc>
          <w:tcPr>
            <w:tcW w:w="3871" w:type="dxa"/>
          </w:tcPr>
          <w:p w14:paraId="613E0949"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4.1 Estudio de Impacto Ambiental de las obras del Acueducto de la Asada  Volcán</w:t>
            </w:r>
          </w:p>
        </w:tc>
      </w:tr>
      <w:tr w:rsidR="00B853B5" w:rsidRPr="00B853B5" w14:paraId="74758D06" w14:textId="77777777" w:rsidTr="00EF750D">
        <w:tc>
          <w:tcPr>
            <w:tcW w:w="2478" w:type="dxa"/>
            <w:vMerge/>
          </w:tcPr>
          <w:p w14:paraId="5C595CF3"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6B4FB68F"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6C1B7572"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4.2 Estudio de Impacto Ambiental de las obras del Acueducto de la Asada  El Carmen</w:t>
            </w:r>
          </w:p>
        </w:tc>
      </w:tr>
      <w:tr w:rsidR="00B853B5" w:rsidRPr="00B853B5" w14:paraId="17D4E28E" w14:textId="77777777" w:rsidTr="00EF750D">
        <w:tc>
          <w:tcPr>
            <w:tcW w:w="2478" w:type="dxa"/>
            <w:vMerge/>
          </w:tcPr>
          <w:p w14:paraId="5CB00DB3"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690A62DE"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4E7FCC7E"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4.3 Estudio de Impacto Ambiental de las obras del Acueducto de la Asada  La Amistad</w:t>
            </w:r>
          </w:p>
        </w:tc>
      </w:tr>
      <w:tr w:rsidR="00B853B5" w:rsidRPr="00B853B5" w14:paraId="79B354BF" w14:textId="77777777" w:rsidTr="00EF750D">
        <w:tc>
          <w:tcPr>
            <w:tcW w:w="2478" w:type="dxa"/>
            <w:vMerge/>
          </w:tcPr>
          <w:p w14:paraId="5D0420D3"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026C242F"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09B4D746"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Producto 4.4 Estudio de Impacto Ambiental de las obras del Acueducto de la Asada  Helechales-Potrero Grande</w:t>
            </w:r>
          </w:p>
        </w:tc>
      </w:tr>
      <w:tr w:rsidR="00B853B5" w:rsidRPr="00B853B5" w14:paraId="476C6AEC" w14:textId="77777777" w:rsidTr="00EF750D">
        <w:tc>
          <w:tcPr>
            <w:tcW w:w="2478" w:type="dxa"/>
            <w:vMerge/>
          </w:tcPr>
          <w:p w14:paraId="6FC71CAF" w14:textId="77777777" w:rsidR="00B853B5" w:rsidRPr="00B853B5" w:rsidRDefault="00B853B5" w:rsidP="00B853B5">
            <w:pPr>
              <w:tabs>
                <w:tab w:val="left" w:pos="426"/>
              </w:tabs>
              <w:spacing w:before="120" w:after="0" w:line="240" w:lineRule="auto"/>
              <w:jc w:val="both"/>
              <w:rPr>
                <w:rFonts w:ascii="Garamond" w:eastAsia="Garamond" w:hAnsi="Garamond" w:cs="Garamond"/>
                <w:b/>
                <w:bCs/>
                <w:lang w:val="es-ES_tradnl" w:eastAsia="es-ES"/>
              </w:rPr>
            </w:pPr>
          </w:p>
        </w:tc>
        <w:tc>
          <w:tcPr>
            <w:tcW w:w="2479" w:type="dxa"/>
            <w:vMerge/>
            <w:vAlign w:val="center"/>
          </w:tcPr>
          <w:p w14:paraId="44A4597D" w14:textId="77777777" w:rsidR="00B853B5" w:rsidRPr="00B853B5" w:rsidRDefault="00B853B5" w:rsidP="00B853B5">
            <w:pPr>
              <w:tabs>
                <w:tab w:val="left" w:pos="426"/>
              </w:tabs>
              <w:spacing w:before="120" w:after="0" w:line="240" w:lineRule="auto"/>
              <w:jc w:val="center"/>
              <w:rPr>
                <w:rFonts w:ascii="Garamond" w:eastAsia="Garamond" w:hAnsi="Garamond" w:cs="Garamond"/>
                <w:lang w:val="es-ES_tradnl" w:eastAsia="es-ES"/>
              </w:rPr>
            </w:pPr>
          </w:p>
        </w:tc>
        <w:tc>
          <w:tcPr>
            <w:tcW w:w="3871" w:type="dxa"/>
          </w:tcPr>
          <w:p w14:paraId="7009EA3F"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Producto 4.5 Estudio de Impacto Ambiental de las obras del Acueducto de la Asada  Concepción de Pilas </w:t>
            </w:r>
          </w:p>
        </w:tc>
      </w:tr>
    </w:tbl>
    <w:p w14:paraId="254EB947" w14:textId="77777777" w:rsidR="00B853B5" w:rsidRPr="00B853B5" w:rsidRDefault="00B853B5" w:rsidP="00B853B5">
      <w:pPr>
        <w:spacing w:after="0" w:line="240" w:lineRule="auto"/>
        <w:jc w:val="center"/>
        <w:rPr>
          <w:rFonts w:ascii="Garamond" w:eastAsia="Garamond" w:hAnsi="Garamond" w:cs="Garamond"/>
          <w:i/>
          <w:lang w:val="es-ES_tradnl" w:eastAsia="es-ES"/>
        </w:rPr>
      </w:pPr>
      <w:r w:rsidRPr="00B853B5">
        <w:rPr>
          <w:rFonts w:ascii="Garamond" w:eastAsia="Garamond" w:hAnsi="Garamond" w:cs="Garamond"/>
          <w:i/>
          <w:lang w:val="es-ES_tradnl" w:eastAsia="es-ES"/>
        </w:rPr>
        <w:t>Fuente: Elaboración propia</w:t>
      </w:r>
    </w:p>
    <w:p w14:paraId="58268E97"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ACTIVIDADES</w:t>
      </w:r>
    </w:p>
    <w:p w14:paraId="5A3920BA"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Actividades del Producto 1</w:t>
      </w:r>
    </w:p>
    <w:p w14:paraId="5CA972A9" w14:textId="77777777" w:rsidR="00B853B5" w:rsidRPr="00B853B5" w:rsidRDefault="00B853B5" w:rsidP="00B853B5">
      <w:pPr>
        <w:tabs>
          <w:tab w:val="left" w:pos="426"/>
        </w:tabs>
        <w:spacing w:before="120"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Actividad 1.1: </w:t>
      </w:r>
      <w:r w:rsidRPr="00B853B5">
        <w:rPr>
          <w:rFonts w:ascii="Garamond" w:eastAsia="Garamond" w:hAnsi="Garamond" w:cs="Garamond"/>
          <w:lang w:val="es-ES_tradnl" w:eastAsia="es-ES"/>
        </w:rPr>
        <w:t>Determinar las características generales de los sistemas de abastecimiento de agua potable del Acueducto de la Asada Volcán, que permita la ejecución de forma exitosa partiendo y siendo evaluadas por el AyA. Incluye análisis hidráulico preciso de las redes (tuberías de los sistemas actuales), así como el 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6BA0973B"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1.2: </w:t>
      </w:r>
      <w:r w:rsidRPr="00B853B5">
        <w:rPr>
          <w:rFonts w:ascii="Garamond" w:eastAsia="Garamond" w:hAnsi="Garamond" w:cs="Garamond"/>
          <w:lang w:val="es-ES_tradnl" w:eastAsia="es-ES"/>
        </w:rPr>
        <w:t>Determinar las características generales de los sistemas de abastecimiento de agua potable del Acueducto de la Asada El Carmen, que permita la ejecución de forma exitosa partiendo y siendo evaluadas por el AyA. Incluye análisis hidráulico preciso de las redes (tuberías de los sistemas actuales), así como el 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0AD6AA79"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1.3: </w:t>
      </w:r>
      <w:r w:rsidRPr="00B853B5">
        <w:rPr>
          <w:rFonts w:ascii="Garamond" w:eastAsia="Garamond" w:hAnsi="Garamond" w:cs="Garamond"/>
          <w:lang w:val="es-ES_tradnl" w:eastAsia="es-ES"/>
        </w:rPr>
        <w:t>Determinar las características generales de los sistemas de abastecimiento de agua potable del Acueducto de la Asada La Amistad, que permita la ejecución de forma exitosa partiendo y siendo evaluadas por el AyA. Incluye análisis hidráulico preciso de las redes (tuberías de los sistemas actuales), así como el 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68569722"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1.4: </w:t>
      </w:r>
      <w:r w:rsidRPr="00B853B5">
        <w:rPr>
          <w:rFonts w:ascii="Garamond" w:eastAsia="Garamond" w:hAnsi="Garamond" w:cs="Garamond"/>
          <w:lang w:val="es-ES_tradnl" w:eastAsia="es-ES"/>
        </w:rPr>
        <w:t>Determinar las características generales de los sistemas de abastecimiento de agua potable del Acueducto de la Asada Helechales-Potrero Grande, que permita la ejecución de forma exitosa partiendo y siendo evaluadas por el AyA. Incluye análisis hidráulico preciso de las redes (tuberías de los sistemas actuales), así como el 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5CF0CF83"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lastRenderedPageBreak/>
        <w:t xml:space="preserve">Actividad 1.5: </w:t>
      </w:r>
      <w:r w:rsidRPr="00B853B5">
        <w:rPr>
          <w:rFonts w:ascii="Garamond" w:eastAsia="Garamond" w:hAnsi="Garamond" w:cs="Garamond"/>
          <w:lang w:val="es-ES_tradnl" w:eastAsia="es-ES"/>
        </w:rPr>
        <w:t>Determinar las características generales de los sistemas de abastecimiento de agua potable del Acueducto de la Asada Concepción de Pilas, que permita la ejecución de forma exitosa partiendo y siendo evaluadas por el AyA. Incluye análisis hidráulico preciso de las redes (tuberías de los sistemas actuales), así como el 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1D55BE77"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Actividades del Producto 2</w:t>
      </w:r>
    </w:p>
    <w:p w14:paraId="7D78A7F4"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2.1: </w:t>
      </w:r>
      <w:r w:rsidRPr="00B853B5">
        <w:rPr>
          <w:rFonts w:ascii="Garamond" w:eastAsia="Garamond" w:hAnsi="Garamond" w:cs="Garamond"/>
          <w:lang w:val="es-ES_tradnl" w:eastAsia="es-ES"/>
        </w:rPr>
        <w:t>Diseñar y elaborar los planos del sistema hidráulico actual y de las mejoras a realizar a partir del estudio, con base en las proyecciones al 2050 del Acueducto de la Asada Volcán.</w:t>
      </w:r>
    </w:p>
    <w:p w14:paraId="18D03BD8" w14:textId="77777777" w:rsidR="00B853B5" w:rsidRPr="00B853B5" w:rsidRDefault="00B853B5" w:rsidP="00B853B5">
      <w:pPr>
        <w:tabs>
          <w:tab w:val="left" w:pos="426"/>
        </w:tabs>
        <w:spacing w:before="120" w:after="0" w:line="240" w:lineRule="auto"/>
        <w:jc w:val="both"/>
        <w:rPr>
          <w:rFonts w:ascii="Garamond" w:eastAsia="Garamond" w:hAnsi="Garamond" w:cs="Garamond"/>
          <w:lang w:val="es-ES_tradnl" w:eastAsia="es-ES"/>
        </w:rPr>
      </w:pPr>
    </w:p>
    <w:p w14:paraId="07949F38"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 xml:space="preserve">Actividad 2.2: </w:t>
      </w:r>
      <w:r w:rsidRPr="00B853B5">
        <w:rPr>
          <w:rFonts w:ascii="Garamond" w:eastAsia="Garamond" w:hAnsi="Garamond" w:cs="Garamond"/>
          <w:lang w:val="es-ES" w:eastAsia="en-US"/>
        </w:rPr>
        <w:t>Diseñar y elaborar los planos del sistema hidráulico actual y de las mejoras a realizar a partir del estudio, con base en las proyecciones al 2050 del Acueducto de la Asada El Carmen.</w:t>
      </w:r>
    </w:p>
    <w:p w14:paraId="6BACE156"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624D90B5"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 xml:space="preserve">Actividad 2.3: </w:t>
      </w:r>
      <w:r w:rsidRPr="00B853B5">
        <w:rPr>
          <w:rFonts w:ascii="Garamond" w:eastAsia="Garamond" w:hAnsi="Garamond" w:cs="Garamond"/>
          <w:lang w:val="es-ES" w:eastAsia="en-US"/>
        </w:rPr>
        <w:t>Diseñar y elaborar los planos del sistema hidráulico actual y de las mejoras a realizar a partir del estudio, con base en las proyecciones al 2050 del Acueducto de la Asada La Amistad.</w:t>
      </w:r>
    </w:p>
    <w:p w14:paraId="54B56251"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4D89B336"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 xml:space="preserve">Actividad 2.4: </w:t>
      </w:r>
      <w:r w:rsidRPr="00B853B5">
        <w:rPr>
          <w:rFonts w:ascii="Garamond" w:eastAsia="Garamond" w:hAnsi="Garamond" w:cs="Garamond"/>
          <w:lang w:val="es-ES" w:eastAsia="en-US"/>
        </w:rPr>
        <w:t>Diseñar y elaborar los planos del sistema hidráulico actual y de las mejoras a realizar a partir del estudio, con base en las proyecciones al 2050 del Acueducto de la Asada Helechales-Potrero Grande.</w:t>
      </w:r>
    </w:p>
    <w:p w14:paraId="36AD0D23"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p>
    <w:p w14:paraId="27DDCE7C" w14:textId="77777777" w:rsidR="00B853B5" w:rsidRPr="00B853B5" w:rsidRDefault="00B853B5" w:rsidP="00B853B5">
      <w:pPr>
        <w:spacing w:after="20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 xml:space="preserve">Actividad 2.5: </w:t>
      </w:r>
      <w:r w:rsidRPr="00B853B5">
        <w:rPr>
          <w:rFonts w:ascii="Garamond" w:eastAsia="Garamond" w:hAnsi="Garamond" w:cs="Garamond"/>
          <w:lang w:val="es-ES" w:eastAsia="en-US"/>
        </w:rPr>
        <w:t>Diseñar y elaborar los planos del sistema hidráulico actual y de las mejoras a realizar a partir del estudio, con base en las proyecciones al 2050 del Acueducto de la Asada Concepción de Pilas.</w:t>
      </w:r>
    </w:p>
    <w:p w14:paraId="03472B90" w14:textId="77777777" w:rsidR="00B853B5" w:rsidRPr="00B853B5" w:rsidRDefault="00B853B5" w:rsidP="00B853B5">
      <w:pPr>
        <w:spacing w:after="200" w:line="240" w:lineRule="auto"/>
        <w:contextualSpacing/>
        <w:jc w:val="both"/>
        <w:rPr>
          <w:rFonts w:ascii="Garamond" w:eastAsia="Garamond" w:hAnsi="Garamond" w:cs="Garamond"/>
          <w:b/>
          <w:lang w:val="es-ES" w:eastAsia="en-US"/>
        </w:rPr>
      </w:pPr>
    </w:p>
    <w:p w14:paraId="5C5EF5D9"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Actividades del Producto 3</w:t>
      </w:r>
    </w:p>
    <w:p w14:paraId="420A6B10"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3.1: </w:t>
      </w:r>
      <w:r w:rsidRPr="00B853B5">
        <w:rPr>
          <w:rFonts w:ascii="Garamond" w:eastAsia="Garamond" w:hAnsi="Garamond" w:cs="Garamond"/>
          <w:lang w:val="es-ES_tradnl" w:eastAsia="es-ES"/>
        </w:rPr>
        <w:t>Realizar el presupuesto detallado de las obras a realizar a partir de las recomendaciones del estudio del Acueducto de la Asada Volcán. El presupuesto detallado debe indicar las fases de la construcción con sus respectivos desembolsos estimados, la priorización de obras y un calendario de desembolsos.</w:t>
      </w:r>
    </w:p>
    <w:p w14:paraId="24BA1E81"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3.2: </w:t>
      </w:r>
      <w:r w:rsidRPr="00B853B5">
        <w:rPr>
          <w:rFonts w:ascii="Garamond" w:eastAsia="Garamond" w:hAnsi="Garamond" w:cs="Garamond"/>
          <w:lang w:val="es-ES_tradnl" w:eastAsia="es-ES"/>
        </w:rPr>
        <w:t>Realizar el presupuesto detallado de las obras a realizar a partir de las recomendaciones del estudio del Acueducto de la Asada El Carmen. El presupuesto detallado debe indicar las fases de la construcción con sus respectivos desembolsos estimados, la priorización de obras y un calendario de desembolsos.</w:t>
      </w:r>
    </w:p>
    <w:p w14:paraId="1330FE9A"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3.3: </w:t>
      </w:r>
      <w:r w:rsidRPr="00B853B5">
        <w:rPr>
          <w:rFonts w:ascii="Garamond" w:eastAsia="Garamond" w:hAnsi="Garamond" w:cs="Garamond"/>
          <w:lang w:val="es-ES_tradnl" w:eastAsia="es-ES"/>
        </w:rPr>
        <w:t>Realizar el presupuesto detallado de las obras a realizar a partir de las recomendaciones del estudio del Acueducto de la Asada La Amistad. El presupuesto detallado debe indicar las fases de la construcción con sus respectivos desembolsos estimados, la priorización de obras y un calendario de desembolsos.</w:t>
      </w:r>
    </w:p>
    <w:p w14:paraId="59A41536"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3.4: </w:t>
      </w:r>
      <w:r w:rsidRPr="00B853B5">
        <w:rPr>
          <w:rFonts w:ascii="Garamond" w:eastAsia="Garamond" w:hAnsi="Garamond" w:cs="Garamond"/>
          <w:lang w:val="es-ES_tradnl" w:eastAsia="es-ES"/>
        </w:rPr>
        <w:t>Realizar el presupuesto detallado de las obras a realizar a partir de las recomendaciones del estudio del Acueducto de la Asada Helechales-Potrero Grande. El presupuesto detallado debe indicar las fases de la construcción con sus respectivos desembolsos estimados, la priorización de obras y un calendario de desembolsos.</w:t>
      </w:r>
    </w:p>
    <w:p w14:paraId="06CEAC76"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3.5: </w:t>
      </w:r>
      <w:r w:rsidRPr="00B853B5">
        <w:rPr>
          <w:rFonts w:ascii="Garamond" w:eastAsia="Garamond" w:hAnsi="Garamond" w:cs="Garamond"/>
          <w:lang w:val="es-ES_tradnl" w:eastAsia="es-ES"/>
        </w:rPr>
        <w:t>Realizar el presupuesto detallado de las obras a realizar a partir de las recomendaciones del estudio del Acueducto de la Asada Concepción de Pilas. El presupuesto detallado debe indicar las fases de la construcción con sus respectivos desembolsos estimados, la priorización de obras y un calendario de desembolsos.</w:t>
      </w:r>
    </w:p>
    <w:p w14:paraId="41BAD74D"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Actividades del Producto 4</w:t>
      </w:r>
    </w:p>
    <w:p w14:paraId="37E273CC" w14:textId="77777777" w:rsidR="00B853B5" w:rsidRPr="00B853B5" w:rsidRDefault="00B853B5" w:rsidP="00B853B5">
      <w:pPr>
        <w:tabs>
          <w:tab w:val="left" w:pos="426"/>
        </w:tabs>
        <w:spacing w:before="120" w:after="0" w:line="240" w:lineRule="auto"/>
        <w:ind w:left="360"/>
        <w:jc w:val="both"/>
        <w:rPr>
          <w:rFonts w:ascii="Garamond" w:eastAsia="Garamond" w:hAnsi="Garamond" w:cs="Garamond"/>
          <w:b/>
          <w:lang w:val="es-ES_tradnl" w:eastAsia="es-ES"/>
        </w:rPr>
      </w:pPr>
      <w:r w:rsidRPr="00B853B5">
        <w:rPr>
          <w:rFonts w:ascii="Garamond" w:eastAsia="Garamond" w:hAnsi="Garamond" w:cs="Garamond"/>
          <w:b/>
          <w:lang w:val="es-ES_tradnl" w:eastAsia="es-ES"/>
        </w:rPr>
        <w:t xml:space="preserve">Actividad 4.1: </w:t>
      </w:r>
      <w:r w:rsidRPr="00B853B5">
        <w:rPr>
          <w:rFonts w:ascii="Garamond" w:eastAsia="Garamond" w:hAnsi="Garamond" w:cs="Garamond"/>
          <w:lang w:val="es-ES_tradnl" w:eastAsia="es-ES"/>
        </w:rPr>
        <w:t xml:space="preserve">Analizar y evaluar el impacto ambiental del proyecto del Acueducto de la Asada Volcán, identificando los impactos que el proyecto podría generar en el ambiente, así como las </w:t>
      </w:r>
      <w:r w:rsidRPr="00B853B5">
        <w:rPr>
          <w:rFonts w:ascii="Garamond" w:eastAsia="Garamond" w:hAnsi="Garamond" w:cs="Garamond"/>
          <w:lang w:val="es-ES_tradnl" w:eastAsia="es-ES"/>
        </w:rPr>
        <w:lastRenderedPageBreak/>
        <w:t>medidas de intervención que dichos impactos requerirían y sus costos, los cuales deben ser llevados a las evaluaciones: financiera, costos y económica social del proyecto.</w:t>
      </w:r>
    </w:p>
    <w:p w14:paraId="05813640"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4.2: </w:t>
      </w:r>
      <w:r w:rsidRPr="00B853B5">
        <w:rPr>
          <w:rFonts w:ascii="Garamond" w:eastAsia="Garamond" w:hAnsi="Garamond" w:cs="Garamond"/>
          <w:lang w:val="es-ES_tradnl" w:eastAsia="es-ES"/>
        </w:rPr>
        <w:t>Analizar y evaluar el impacto ambiental del proyecto del Acueducto de la Asada El Carmen, identificando los impactos que el proyecto podría generar en el ambiente, así como las medidas de intervención que dichos impactos requerirían y sus costos, los cuales deben ser llevados a las evaluaciones: financiera, costos y económica social del proyecto.</w:t>
      </w:r>
    </w:p>
    <w:p w14:paraId="490AE042"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4.3: </w:t>
      </w:r>
      <w:r w:rsidRPr="00B853B5">
        <w:rPr>
          <w:rFonts w:ascii="Garamond" w:eastAsia="Garamond" w:hAnsi="Garamond" w:cs="Garamond"/>
          <w:lang w:val="es-ES_tradnl" w:eastAsia="es-ES"/>
        </w:rPr>
        <w:t>Analizar y evaluar el impacto ambiental del proyecto del Acueducto de la Asada La Amistad, identificando los impactos que el proyecto podría generar en el ambiente, así como las medidas de intervención que dichos impactos requerirían y sus costos, los cuales deben ser llevados a las evaluaciones: financiera, costos y económica social del proyecto.</w:t>
      </w:r>
    </w:p>
    <w:p w14:paraId="414A27DB"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4.4: </w:t>
      </w:r>
      <w:r w:rsidRPr="00B853B5">
        <w:rPr>
          <w:rFonts w:ascii="Garamond" w:eastAsia="Garamond" w:hAnsi="Garamond" w:cs="Garamond"/>
          <w:lang w:val="es-ES_tradnl" w:eastAsia="es-ES"/>
        </w:rPr>
        <w:t>Analizar y evaluar el impacto ambiental del proyecto del Acueducto de la Asada Helechales-Potrero Grande, identificando los impactos que el proyecto podría generar en el ambiente, así como las medidas de intervención que dichos impactos requerirían y sus costos, los cuales deben ser llevados a las evaluaciones: financiera, costos y económica social del proyecto.</w:t>
      </w:r>
    </w:p>
    <w:p w14:paraId="54E7DB44"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r w:rsidRPr="00B853B5">
        <w:rPr>
          <w:rFonts w:ascii="Garamond" w:eastAsia="Garamond" w:hAnsi="Garamond" w:cs="Garamond"/>
          <w:b/>
          <w:lang w:val="es-ES_tradnl" w:eastAsia="es-ES"/>
        </w:rPr>
        <w:t xml:space="preserve">Actividad 4.5: </w:t>
      </w:r>
      <w:r w:rsidRPr="00B853B5">
        <w:rPr>
          <w:rFonts w:ascii="Garamond" w:eastAsia="Garamond" w:hAnsi="Garamond" w:cs="Garamond"/>
          <w:lang w:val="es-ES_tradnl" w:eastAsia="es-ES"/>
        </w:rPr>
        <w:t>Analizar y evaluar el impacto ambiental del proyecto del Acueducto de la Asada Concepción de Pilas, identificando los impactos que el proyecto podría generar en el ambiente, así como las medidas de intervención que dichos impactos requerirían y sus costos, los cuales deben ser llevados a las evaluaciones: financiera, costos y económica social del proyecto.</w:t>
      </w:r>
    </w:p>
    <w:p w14:paraId="5DD3B052" w14:textId="77777777" w:rsidR="00B853B5" w:rsidRPr="00B853B5" w:rsidRDefault="00B853B5" w:rsidP="00B853B5">
      <w:pPr>
        <w:tabs>
          <w:tab w:val="left" w:pos="426"/>
        </w:tabs>
        <w:spacing w:before="120" w:after="0" w:line="240" w:lineRule="auto"/>
        <w:ind w:left="360"/>
        <w:jc w:val="both"/>
        <w:rPr>
          <w:rFonts w:ascii="Garamond" w:eastAsia="Garamond" w:hAnsi="Garamond" w:cs="Garamond"/>
          <w:lang w:val="es-ES_tradnl" w:eastAsia="es-ES"/>
        </w:rPr>
      </w:pPr>
    </w:p>
    <w:p w14:paraId="1D2013DB" w14:textId="77777777" w:rsidR="00B853B5" w:rsidRPr="00B853B5" w:rsidRDefault="00B853B5" w:rsidP="00B853B5">
      <w:pPr>
        <w:numPr>
          <w:ilvl w:val="0"/>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DESCRIPCIÓN GENERAL DE LOS SERVICIOS A EJECUTAR</w:t>
      </w:r>
    </w:p>
    <w:p w14:paraId="72A678C5"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77410F4"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siguientes son los ejes temáticos a desarrollar:</w:t>
      </w:r>
    </w:p>
    <w:p w14:paraId="3ABB565B" w14:textId="77777777" w:rsidR="00B853B5" w:rsidRPr="00B853B5" w:rsidRDefault="00B853B5" w:rsidP="00B853B5">
      <w:pPr>
        <w:numPr>
          <w:ilvl w:val="0"/>
          <w:numId w:val="2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Estudio Técnico y Topográfico</w:t>
      </w:r>
    </w:p>
    <w:p w14:paraId="3FECA252" w14:textId="77777777" w:rsidR="00B853B5" w:rsidRPr="00B853B5" w:rsidRDefault="00B853B5" w:rsidP="00B853B5">
      <w:pPr>
        <w:numPr>
          <w:ilvl w:val="0"/>
          <w:numId w:val="2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Estudio Hidrogeológico</w:t>
      </w:r>
    </w:p>
    <w:p w14:paraId="741C05A4" w14:textId="77777777" w:rsidR="00B853B5" w:rsidRPr="00B853B5" w:rsidRDefault="00B853B5" w:rsidP="00B853B5">
      <w:pPr>
        <w:numPr>
          <w:ilvl w:val="0"/>
          <w:numId w:val="2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Estudio de Impacto Ambiental</w:t>
      </w:r>
    </w:p>
    <w:p w14:paraId="72116D52" w14:textId="77777777" w:rsidR="00B853B5" w:rsidRPr="00B853B5" w:rsidRDefault="00B853B5" w:rsidP="00B853B5">
      <w:pPr>
        <w:spacing w:line="240" w:lineRule="auto"/>
        <w:ind w:left="720"/>
        <w:contextualSpacing/>
        <w:jc w:val="both"/>
        <w:rPr>
          <w:rFonts w:ascii="Garamond" w:eastAsia="Garamond" w:hAnsi="Garamond" w:cs="Garamond"/>
          <w:lang w:val="es-ES" w:eastAsia="en-US"/>
        </w:rPr>
      </w:pPr>
    </w:p>
    <w:p w14:paraId="219BCFA9" w14:textId="77777777" w:rsidR="00B853B5" w:rsidRPr="00B853B5" w:rsidRDefault="00B853B5">
      <w:pPr>
        <w:keepNext/>
        <w:keepLines/>
        <w:numPr>
          <w:ilvl w:val="0"/>
          <w:numId w:val="45"/>
        </w:numPr>
        <w:spacing w:after="0" w:line="240" w:lineRule="auto"/>
        <w:outlineLvl w:val="1"/>
        <w:rPr>
          <w:rFonts w:ascii="Garamond" w:eastAsia="Times New Roman" w:hAnsi="Garamond" w:cs="Arial"/>
          <w:b/>
          <w:vanish/>
          <w:color w:val="000000"/>
          <w:lang w:val="es-ES" w:eastAsia="en-US"/>
        </w:rPr>
      </w:pPr>
      <w:bookmarkStart w:id="76" w:name="_Toc156379902"/>
      <w:bookmarkStart w:id="77" w:name="_Toc156380062"/>
      <w:bookmarkStart w:id="78" w:name="_Toc156380130"/>
      <w:bookmarkStart w:id="79" w:name="_Toc156380248"/>
      <w:bookmarkStart w:id="80" w:name="_Toc156380349"/>
      <w:bookmarkStart w:id="81" w:name="_Toc156390571"/>
      <w:bookmarkStart w:id="82" w:name="_Toc156390637"/>
      <w:bookmarkStart w:id="83" w:name="_Toc158296420"/>
      <w:bookmarkEnd w:id="76"/>
      <w:bookmarkEnd w:id="77"/>
      <w:bookmarkEnd w:id="78"/>
      <w:bookmarkEnd w:id="79"/>
      <w:bookmarkEnd w:id="80"/>
      <w:bookmarkEnd w:id="81"/>
      <w:bookmarkEnd w:id="82"/>
      <w:bookmarkEnd w:id="83"/>
    </w:p>
    <w:p w14:paraId="717A5D62"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84" w:name="_Toc158296421"/>
      <w:r w:rsidRPr="00B853B5">
        <w:rPr>
          <w:rFonts w:ascii="Garamond" w:eastAsia="Garamond" w:hAnsi="Garamond" w:cs="Garamond"/>
          <w:b/>
          <w:lang w:val="es-ES" w:eastAsia="en-US"/>
        </w:rPr>
        <w:t>Estudio Técnico</w:t>
      </w:r>
      <w:bookmarkEnd w:id="84"/>
      <w:r w:rsidRPr="00B853B5">
        <w:rPr>
          <w:rFonts w:ascii="Garamond" w:eastAsia="Garamond" w:hAnsi="Garamond" w:cs="Garamond"/>
          <w:b/>
          <w:lang w:val="es-ES" w:eastAsia="en-US"/>
        </w:rPr>
        <w:t xml:space="preserve"> y Topográfico</w:t>
      </w:r>
    </w:p>
    <w:p w14:paraId="7E5D7461" w14:textId="77777777" w:rsidR="00B853B5" w:rsidRPr="00B853B5" w:rsidRDefault="00B853B5" w:rsidP="00B853B5">
      <w:pPr>
        <w:spacing w:after="0" w:line="240" w:lineRule="auto"/>
        <w:rPr>
          <w:rFonts w:ascii="Garamond" w:eastAsia="Times New Roman" w:hAnsi="Garamond" w:cs="Times New Roman"/>
          <w:lang w:val="es-ES_tradnl" w:eastAsia="es-ES"/>
        </w:rPr>
      </w:pPr>
    </w:p>
    <w:p w14:paraId="6246B023"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El Estudio Técnico determina las características generales de los sistemas de abastecimiento de agua potable. Para este proyecto en la fase de elaboración de planos y documentos, debe contar con un grado de detalle adecuado, que permita su ejecución de forma exitosa partiendo y deberán ser evaluadas por el Instituto Costarricense de Acueductos y Alcantarillados (AyA) dependiendo del tipo de obras.</w:t>
      </w:r>
    </w:p>
    <w:p w14:paraId="4CE0152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B97EB8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general el Estudio Técnico deberá contemplar de forma mínima las siguientes actividades: </w:t>
      </w:r>
    </w:p>
    <w:p w14:paraId="1E33980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C5AF870" w14:textId="77777777" w:rsidR="00B853B5" w:rsidRPr="00B853B5" w:rsidRDefault="00B853B5" w:rsidP="00B853B5">
      <w:pPr>
        <w:numPr>
          <w:ilvl w:val="0"/>
          <w:numId w:val="2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Un análisis hidráulico preciso de las redes (tuberías de los sistemas actuales en todos los acueductos de interés del proyecto).</w:t>
      </w:r>
    </w:p>
    <w:p w14:paraId="08F9C29F" w14:textId="77777777" w:rsidR="00B853B5" w:rsidRPr="00B853B5" w:rsidRDefault="00B853B5" w:rsidP="00B853B5">
      <w:pPr>
        <w:numPr>
          <w:ilvl w:val="0"/>
          <w:numId w:val="2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Análisis preciso de capacidad hídrica y capacidad de almacenamiento de los sistemas actuales (saber con cuánta agua se cuenta en las tomas y en los almacenamientos actuales para orientar con mayor detalle proyecciones de mejoras con más capacidad hídrica al 2050).</w:t>
      </w:r>
    </w:p>
    <w:p w14:paraId="70AC10BF" w14:textId="77777777" w:rsidR="00B853B5" w:rsidRPr="00B853B5" w:rsidRDefault="00B853B5" w:rsidP="00B853B5">
      <w:pPr>
        <w:numPr>
          <w:ilvl w:val="0"/>
          <w:numId w:val="2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Diseño y elaboración de planos del sistema hidráulicos actuales y de las mejoras a realizar a partir del estudio, con base en las proyecciones al 2050.</w:t>
      </w:r>
    </w:p>
    <w:p w14:paraId="140B5811" w14:textId="77777777" w:rsidR="00B853B5" w:rsidRPr="00B853B5" w:rsidRDefault="00B853B5" w:rsidP="00B853B5">
      <w:pPr>
        <w:numPr>
          <w:ilvl w:val="0"/>
          <w:numId w:val="2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Un presupuesto detallado de las mejoras a realizar a partir de las recomendaciones del estudio.</w:t>
      </w:r>
    </w:p>
    <w:p w14:paraId="123E2E37" w14:textId="77777777" w:rsidR="00B853B5" w:rsidRPr="00B853B5" w:rsidRDefault="00B853B5" w:rsidP="00B853B5">
      <w:pPr>
        <w:numPr>
          <w:ilvl w:val="0"/>
          <w:numId w:val="2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Especificaciones técnicas de materiales y equipos, teniendo en cuenta la realización de mejoras con los materiales de alta calidad y tanques de almacenamiento no superiores a los 500 metros cúbicos, partiendo de los resultados de análisis realizado.</w:t>
      </w:r>
    </w:p>
    <w:p w14:paraId="767FA3A2"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Para el Estudio Técnico se deberá además cumplir con lo especificado en la Norma Técnica para Diseño y Construcción de Sistema de Abastecimiento de Agua Potable, de Saneamiento y Pluvial, que rige el </w:t>
      </w:r>
      <w:r w:rsidRPr="00B853B5">
        <w:rPr>
          <w:rFonts w:ascii="Garamond" w:eastAsia="Garamond" w:hAnsi="Garamond" w:cs="Garamond"/>
          <w:lang w:val="es-ES" w:eastAsia="en-US"/>
        </w:rPr>
        <w:lastRenderedPageBreak/>
        <w:t xml:space="preserve">diseño, construcción, operación, mantenimiento y control de estos sistemas dentro del territorio nacional. Además se debe seguir lo indicado en el procedimiento GOD-65-04-P Revisión de estudios técnicos integrales, de mejoras o estudios técnicos específicos para proyectos inmobiliarios de fraccionamiento, lotificación u otros presentados por ASADAS. Dicho procedimiento establece las pautas a seguir para la entrega de los estudios técnicos a fin de disponer finalmente de su aprobación por parte del AyA (en este caso de la Dirección de Ingeniería de la UEN GAR de la Subgerencia de Sistemas Delegados). </w:t>
      </w:r>
    </w:p>
    <w:p w14:paraId="19B56BC6" w14:textId="77777777" w:rsidR="00B853B5" w:rsidRPr="00B853B5" w:rsidRDefault="00B853B5" w:rsidP="00B853B5">
      <w:pPr>
        <w:spacing w:after="0" w:line="240" w:lineRule="auto"/>
        <w:jc w:val="both"/>
        <w:rPr>
          <w:rFonts w:ascii="Garamond" w:eastAsia="Garamond" w:hAnsi="Garamond" w:cs="Garamond"/>
          <w:lang w:val="es-ES" w:eastAsia="en-US"/>
        </w:rPr>
      </w:pPr>
    </w:p>
    <w:p w14:paraId="5FF45063"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El procedimiento GOD-65-04-P establece las actividades necesarias para la revisión y aprobación de estudios técnicos relacionados con proyectos inmobiliarios y mejoras en sistemas de agua gestionados por las ASADAS. El objetivo principal de la aplicación del procedimiento es definir las actividades que deben realizar los profesionales de ingeniería que se contraten y que deban presentar los estudio ante la Oficina Regional de Acueductos Comunales (ORAC) Brunca, para tramitar la revisión y eventual aprobación de estudios técnicos. Esto incluye desde el análisis de admisibilidad hasta la emisión del acto administrativo de aprobación o rechazo por parte de la Dirección de Ingeniería de la Subgerencia de Sistemas Delegados.</w:t>
      </w:r>
    </w:p>
    <w:p w14:paraId="3ABCCE6A" w14:textId="77777777" w:rsidR="00B853B5" w:rsidRPr="00B853B5" w:rsidRDefault="00B853B5" w:rsidP="00B853B5">
      <w:pPr>
        <w:spacing w:after="0" w:line="240" w:lineRule="auto"/>
        <w:jc w:val="both"/>
        <w:rPr>
          <w:rFonts w:ascii="Garamond" w:eastAsia="Garamond" w:hAnsi="Garamond" w:cs="Garamond"/>
          <w:lang w:val="es-ES" w:eastAsia="en-US"/>
        </w:rPr>
      </w:pPr>
    </w:p>
    <w:p w14:paraId="78479A49"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El procedimiento aplica desde la recepción de la solicitud de revisión de un estudio técnico por parte de una ASADA hasta la emisión del criterio técnico final. Este proceso busca estandarizar la revisión de estudios técnicos para minimizar disparidades en los criterios emitidos.</w:t>
      </w:r>
    </w:p>
    <w:p w14:paraId="6DF6E44B" w14:textId="77777777" w:rsidR="00B853B5" w:rsidRPr="00B853B5" w:rsidRDefault="00B853B5" w:rsidP="00B853B5">
      <w:pPr>
        <w:spacing w:after="0" w:line="240" w:lineRule="auto"/>
        <w:jc w:val="both"/>
        <w:rPr>
          <w:rFonts w:ascii="Garamond" w:eastAsia="Garamond" w:hAnsi="Garamond" w:cs="Garamond"/>
          <w:lang w:val="es-ES" w:eastAsia="en-US"/>
        </w:rPr>
      </w:pPr>
    </w:p>
    <w:p w14:paraId="33A1022A"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Tipos de Estudios Técnicos:</w:t>
      </w:r>
    </w:p>
    <w:p w14:paraId="42DCD4E8" w14:textId="77777777" w:rsidR="00B853B5" w:rsidRPr="00B853B5" w:rsidRDefault="00B853B5" w:rsidP="00B853B5">
      <w:pPr>
        <w:spacing w:after="0" w:line="240" w:lineRule="auto"/>
        <w:jc w:val="both"/>
        <w:rPr>
          <w:rFonts w:ascii="Garamond" w:eastAsia="Garamond" w:hAnsi="Garamond" w:cs="Garamond"/>
          <w:lang w:val="es-ES" w:eastAsia="en-US"/>
        </w:rPr>
      </w:pPr>
    </w:p>
    <w:p w14:paraId="2CE0A558"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Estudio Técnico Integral del Acueducto: Incluye un análisis completo del sistema de acueducto, evaluando capacidades hídricas e hidráulicas, y proponiendo mejoras, ampliaciones o modernizaciones.</w:t>
      </w:r>
    </w:p>
    <w:p w14:paraId="4133EB5F"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Estudio Técnico para Desarrollos Inmobiliarios: Analiza la factibilidad técnica de incorporar un desarrollo inmobiliario al acueducto operado por la ASADA, garantizando la sostenibilidad del sistema.</w:t>
      </w:r>
    </w:p>
    <w:p w14:paraId="7FD98382" w14:textId="77777777" w:rsidR="00B853B5" w:rsidRPr="00B853B5" w:rsidRDefault="00B853B5" w:rsidP="00B853B5">
      <w:pPr>
        <w:spacing w:after="0" w:line="240" w:lineRule="auto"/>
        <w:jc w:val="both"/>
        <w:rPr>
          <w:rFonts w:ascii="Garamond" w:eastAsia="Garamond" w:hAnsi="Garamond" w:cs="Garamond"/>
          <w:lang w:val="es-ES" w:eastAsia="en-US"/>
        </w:rPr>
      </w:pPr>
    </w:p>
    <w:p w14:paraId="569716EC" w14:textId="77777777" w:rsidR="00B853B5" w:rsidRPr="00B853B5" w:rsidRDefault="00B853B5" w:rsidP="00B853B5">
      <w:pPr>
        <w:spacing w:after="0" w:line="240" w:lineRule="auto"/>
        <w:jc w:val="both"/>
        <w:rPr>
          <w:rFonts w:ascii="Garamond" w:eastAsia="Garamond" w:hAnsi="Garamond" w:cs="Garamond"/>
          <w:lang w:val="es-ES" w:eastAsia="en-US"/>
        </w:rPr>
      </w:pPr>
    </w:p>
    <w:p w14:paraId="7D574FF2" w14:textId="77777777" w:rsidR="00B853B5" w:rsidRPr="00B853B5" w:rsidRDefault="00B853B5" w:rsidP="00B853B5">
      <w:pPr>
        <w:spacing w:after="0" w:line="240" w:lineRule="auto"/>
        <w:jc w:val="both"/>
        <w:rPr>
          <w:rFonts w:ascii="Garamond" w:eastAsia="Garamond" w:hAnsi="Garamond" w:cs="Garamond"/>
          <w:lang w:val="es-ES" w:eastAsia="en-US"/>
        </w:rPr>
      </w:pPr>
    </w:p>
    <w:p w14:paraId="19A2EC8E"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Responsables:</w:t>
      </w:r>
    </w:p>
    <w:p w14:paraId="1A59BDF5" w14:textId="77777777" w:rsidR="00B853B5" w:rsidRPr="00B853B5" w:rsidRDefault="00B853B5" w:rsidP="00B853B5">
      <w:pPr>
        <w:numPr>
          <w:ilvl w:val="0"/>
          <w:numId w:val="43"/>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Director de Ingeniería de la UEN GAR: Responsable de emitir el acto administrativo de aprobación o rechazo.</w:t>
      </w:r>
    </w:p>
    <w:p w14:paraId="7FD92695" w14:textId="77777777" w:rsidR="00B853B5" w:rsidRPr="00B853B5" w:rsidRDefault="00B853B5" w:rsidP="00B853B5">
      <w:pPr>
        <w:numPr>
          <w:ilvl w:val="0"/>
          <w:numId w:val="43"/>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Ingeniero de ORAC: Encargado de revisar los estudios técnicos y emitir recomendaciones.</w:t>
      </w:r>
    </w:p>
    <w:p w14:paraId="48AA2661" w14:textId="77777777" w:rsidR="00B853B5" w:rsidRPr="00B853B5" w:rsidRDefault="00B853B5" w:rsidP="00B853B5">
      <w:pPr>
        <w:numPr>
          <w:ilvl w:val="0"/>
          <w:numId w:val="43"/>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Personal Administrativo o Técnico de Apoyo: Realiza la revisión inicial de admisibilidad y comunica a las ASADAS sobre incumplimientos.</w:t>
      </w:r>
    </w:p>
    <w:p w14:paraId="428F21A4" w14:textId="77777777" w:rsidR="00B853B5" w:rsidRPr="00B853B5" w:rsidRDefault="00B853B5" w:rsidP="00B853B5">
      <w:pPr>
        <w:spacing w:after="0" w:line="240" w:lineRule="auto"/>
        <w:jc w:val="both"/>
        <w:rPr>
          <w:rFonts w:ascii="Garamond" w:eastAsia="Garamond" w:hAnsi="Garamond" w:cs="Garamond"/>
          <w:lang w:val="es-ES" w:eastAsia="en-US"/>
        </w:rPr>
      </w:pPr>
    </w:p>
    <w:p w14:paraId="080A7895" w14:textId="77777777" w:rsidR="00B853B5" w:rsidRPr="00B853B5" w:rsidRDefault="00B853B5" w:rsidP="00B853B5">
      <w:p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Descripción del Procedimiento:</w:t>
      </w:r>
    </w:p>
    <w:p w14:paraId="14C0A41A" w14:textId="77777777" w:rsidR="00B853B5" w:rsidRPr="00B853B5" w:rsidRDefault="00B853B5" w:rsidP="00B853B5">
      <w:pPr>
        <w:spacing w:after="0" w:line="240" w:lineRule="auto"/>
        <w:jc w:val="both"/>
        <w:rPr>
          <w:rFonts w:ascii="Garamond" w:eastAsia="Garamond" w:hAnsi="Garamond" w:cs="Garamond"/>
          <w:lang w:val="es-ES" w:eastAsia="en-US"/>
        </w:rPr>
      </w:pPr>
    </w:p>
    <w:p w14:paraId="3D644739"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Entrega de Requisitos: Se informa a la ASADA sobre los requisitos de admisibilidad y contenido.</w:t>
      </w:r>
    </w:p>
    <w:p w14:paraId="4B0D1E03"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Recepción de Solicitud: La ASADA envía la solicitud formal de revisión del estudio técnico.</w:t>
      </w:r>
    </w:p>
    <w:p w14:paraId="51453DCB"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Revisión de Admisibilidad: Se verifica que la documentación cumpla con los requisitos establecidos.</w:t>
      </w:r>
    </w:p>
    <w:p w14:paraId="68607361"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Notificación de Incumplimientos: En caso de faltantes, se otorga un plazo de 10 días hábiles para subsanar.</w:t>
      </w:r>
    </w:p>
    <w:p w14:paraId="573739E3"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Revisión Técnica: El Ingeniero de ORAC analiza el estudio técnico y, si es necesario, realiza visitas técnicas.</w:t>
      </w:r>
    </w:p>
    <w:p w14:paraId="7CB497A5"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Informe Técnico: El Ingeniero de ORAC elabora un informe con conclusiones y recomendaciones.</w:t>
      </w:r>
    </w:p>
    <w:p w14:paraId="372AA182" w14:textId="77777777" w:rsidR="00B853B5" w:rsidRPr="00B853B5" w:rsidRDefault="00B853B5" w:rsidP="00B853B5">
      <w:pPr>
        <w:numPr>
          <w:ilvl w:val="0"/>
          <w:numId w:val="44"/>
        </w:numPr>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Emisión del Acto Administrativo: El Director de Ingeniería comunica la aprobación o rechazo del estudio técnico.</w:t>
      </w:r>
    </w:p>
    <w:p w14:paraId="7982C8C5" w14:textId="77777777" w:rsidR="00B853B5" w:rsidRPr="00B853B5" w:rsidRDefault="00B853B5" w:rsidP="00B853B5">
      <w:pPr>
        <w:spacing w:after="0" w:line="240" w:lineRule="auto"/>
        <w:ind w:left="720"/>
        <w:jc w:val="both"/>
        <w:rPr>
          <w:rFonts w:ascii="Garamond" w:eastAsia="Garamond" w:hAnsi="Garamond" w:cs="Garamond"/>
          <w:lang w:val="es-ES" w:eastAsia="en-US"/>
        </w:rPr>
      </w:pPr>
    </w:p>
    <w:p w14:paraId="295D37E3" w14:textId="77777777" w:rsidR="00B853B5" w:rsidRPr="00B853B5" w:rsidRDefault="00B853B5" w:rsidP="00B853B5">
      <w:pPr>
        <w:spacing w:after="0" w:line="240" w:lineRule="auto"/>
        <w:jc w:val="both"/>
        <w:rPr>
          <w:rFonts w:ascii="Garamond" w:eastAsia="Garamond" w:hAnsi="Garamond" w:cs="Garamond"/>
          <w:b/>
          <w:bCs/>
          <w:lang w:val="es-ES" w:eastAsia="en-US"/>
        </w:rPr>
      </w:pPr>
      <w:r w:rsidRPr="00B853B5">
        <w:rPr>
          <w:rFonts w:ascii="Garamond" w:eastAsia="Garamond" w:hAnsi="Garamond" w:cs="Garamond"/>
          <w:b/>
          <w:bCs/>
          <w:lang w:val="es-ES" w:eastAsia="en-US"/>
        </w:rPr>
        <w:lastRenderedPageBreak/>
        <w:t>Los estudios Técnicos deberán presentarse cumpliendo requisitos de admisibilidad y requisitos de contenidos (se adjuntan anexos).</w:t>
      </w:r>
    </w:p>
    <w:p w14:paraId="7835BEED"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0EA848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Para los componentes del estudio técnico que deban ser elaborados por profesionales incorporados al Colegio Federado de Ingenieros y de Arquitectos de Costa Rica (CFIA), se deberá cumplir con el registro de la responsabilidad profesional en el sistema APC, para cada una de las fases que componen el ciclo de vida del proyecto, según el Reglamento para la Contratación de Servicios de Consultoría en Ingeniería y Arquitectura. </w:t>
      </w:r>
    </w:p>
    <w:p w14:paraId="7FEB27C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B60E27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el caso de los estudios hidrogeológicos deben ser elaborados por profesionales incorporados en el Colegio de Geólogos de Costa Rica y contar con el aval del SENARA. </w:t>
      </w:r>
    </w:p>
    <w:p w14:paraId="4EDDCB6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DD1CB5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Para los servicios de agrimensura, topografía e ingeniería topográfica de debe aplicar todo lo estipulado en el decreto ejecutivo No. 17481-MOPT sobre el Reglamento de Tarifas de Honorarios para los Profesionales de Agrimensura, Topografía e Ingeniería Topográfica. </w:t>
      </w:r>
    </w:p>
    <w:p w14:paraId="6473CCE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987DDFB"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En el caso de sistemas de tratamiento de agua, que además de procesos físicos requieran la aplicación de procesos químicos, se requerirá el diseño por parte de un profesional competente en esta área.</w:t>
      </w:r>
    </w:p>
    <w:p w14:paraId="7C5BC4E4" w14:textId="77777777" w:rsidR="00B853B5" w:rsidRPr="00B853B5" w:rsidRDefault="00B853B5" w:rsidP="00B853B5">
      <w:pPr>
        <w:spacing w:after="200" w:line="240" w:lineRule="auto"/>
        <w:ind w:left="1440"/>
        <w:contextualSpacing/>
        <w:jc w:val="both"/>
        <w:rPr>
          <w:rFonts w:ascii="Garamond" w:hAnsi="Garamond" w:cs="Arial"/>
          <w:lang w:val="es-ES" w:eastAsia="en-US"/>
        </w:rPr>
      </w:pPr>
    </w:p>
    <w:p w14:paraId="679D4F71"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Memoria descriptiva: </w:t>
      </w:r>
    </w:p>
    <w:p w14:paraId="18FDA28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memoria descriptiva debe contener información básica del lugar, antecedentes, descripción del sistema existente (tipo de sistema, antigüedad, origen, componentes principales, cobertura del sistema, etc.) y descripción del proyecto a realizar (incluyendo objetivos y alcance).  </w:t>
      </w:r>
    </w:p>
    <w:p w14:paraId="5551E8C4" w14:textId="77777777" w:rsidR="00B853B5" w:rsidRPr="00B853B5" w:rsidRDefault="00B853B5" w:rsidP="00B853B5">
      <w:pPr>
        <w:spacing w:after="200" w:line="240" w:lineRule="auto"/>
        <w:ind w:left="1440"/>
        <w:contextualSpacing/>
        <w:rPr>
          <w:rFonts w:ascii="Garamond" w:hAnsi="Garamond" w:cs="Arial"/>
          <w:bCs/>
          <w:lang w:val="es-ES" w:eastAsia="en-US"/>
        </w:rPr>
      </w:pPr>
    </w:p>
    <w:p w14:paraId="425B9679"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Disponibilidad del recurso hídrico: </w:t>
      </w:r>
    </w:p>
    <w:p w14:paraId="4EA86FA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Debe contener los resultados de los estudios hidrológicos e hidrogeológicos cuando se requieran, información de las fuentes (aforos, ubicación geográfica, propietario de los terrenos donde se ubican) y condición del trámite de inscripción de caudales ante la Dirección de Aguas del MINAE. </w:t>
      </w:r>
    </w:p>
    <w:p w14:paraId="2ED14A3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E19F2C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Cuando se trata de nacientes, manantiales o fuentes superficiales, se debe contar con un registro de aforos mensuales, en litros por segundo (l/s). En su defecto, es imprescindible y como mínimo contar con el aforo de la época seca o aforo de verano, como aforo crítico. </w:t>
      </w:r>
    </w:p>
    <w:p w14:paraId="3484B13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18F3F6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Debe registrarse el aforo del caudal producido por la fuente de abastecimiento, así como el caudal captado a partir de dicha fuente. </w:t>
      </w:r>
    </w:p>
    <w:p w14:paraId="4F813E7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C47585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Cada aforo debe registrarse asociado con la fecha en que fue realizado, ya que el vínculo entre el aforo y la fecha es único y distintivo, que permite establecer comparación con aforos realizados en fechas similares de años diferentes.</w:t>
      </w:r>
    </w:p>
    <w:p w14:paraId="4813EE8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 </w:t>
      </w:r>
    </w:p>
    <w:p w14:paraId="3FB24F04"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debe verificar si existe un área mínima para protección de la captación o toma y si se encuentra debidamente cercada. </w:t>
      </w:r>
    </w:p>
    <w:p w14:paraId="368E191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465F3A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el caso de pozos existentes, se debe contar con el informe de perforación, el cual debe contener la recomendación de explotación del pozo avalado por un profesional inscrito ante el Colegio de Geólogos de Costa Rica. Se debe indicar la profundidad del pozo, diámetro, niveles estático y dinámico, caudal de explotación, tiempo de bombeo, columna estratigráfica y en caso de ser factible una evaluación de la sensibilidad del acuífero a la estación seca. </w:t>
      </w:r>
    </w:p>
    <w:p w14:paraId="5642300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44386F6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 no contarse con este informe, se debe realizar una prueba de bombeo según lo establecido en las Metodologías Hidrogeológicas para la evaluación del recurso hídrico del SENARA. </w:t>
      </w:r>
    </w:p>
    <w:p w14:paraId="4415ADFC"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EC07CE8"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Se debe indicar claramente, si el caudal real de extracción del pozo coincide o no con el caudal recomendado de explotación.</w:t>
      </w:r>
    </w:p>
    <w:p w14:paraId="09849A6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F239418"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Calidad del agua: </w:t>
      </w:r>
    </w:p>
    <w:p w14:paraId="52F5252C"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deberá contar con los resultados de los análisis de calidad de agua efectuados al sistema y a las nuevas fuentes que se vayan a incorporar. Estos análisis deben abarcar los niveles CO, N1, N2, N3 y en caso de que se requiera el N4, según el Reglamento para la Calidad del Agua Potable vigente. </w:t>
      </w:r>
    </w:p>
    <w:p w14:paraId="219FFBA0"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184FF8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La antigüedad de los análisis no deberá exceder la frecuencia requerida para cada nivel según el Reglamento para la Calidad del Agua Potable vigente, de acuerdo con la población abastecida por el sistema.</w:t>
      </w:r>
    </w:p>
    <w:p w14:paraId="364B555A" w14:textId="77777777" w:rsidR="00B853B5" w:rsidRPr="00B853B5" w:rsidRDefault="00B853B5" w:rsidP="00B853B5">
      <w:pPr>
        <w:spacing w:after="200" w:line="240" w:lineRule="auto"/>
        <w:ind w:left="1440"/>
        <w:contextualSpacing/>
        <w:jc w:val="both"/>
        <w:rPr>
          <w:rFonts w:ascii="Garamond" w:hAnsi="Garamond" w:cs="Arial"/>
          <w:bCs/>
          <w:lang w:val="es-ES" w:eastAsia="en-US"/>
        </w:rPr>
      </w:pPr>
    </w:p>
    <w:p w14:paraId="031634D7"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Estudio geotécnico: </w:t>
      </w:r>
    </w:p>
    <w:p w14:paraId="05F5D91A"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estudio geotécnico debe ser realizado para los sitios en donde se vayan a construir obras del proyecto que por su magnitud requieran de este tipo de estudios. Su objetivo es detectar los parámetros geotécnicos del terreno y poder definir el tipo de solución a aplicar, así como las características de la cimentación y anticiparse a posibles problemas en el futuro; tomando las consideraciones necesarias para realizar el diseño estructural de las cimentaciones y obras complementarias como muros de retención, cortes de talud, etc. El contenido del estudio geotécnico debe tener al menos los siguientes aspectos: </w:t>
      </w:r>
    </w:p>
    <w:p w14:paraId="43966861"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C2F28F7" w14:textId="77777777" w:rsidR="00B853B5" w:rsidRPr="00B853B5" w:rsidRDefault="00B853B5" w:rsidP="00B853B5">
      <w:pPr>
        <w:numPr>
          <w:ilvl w:val="0"/>
          <w:numId w:val="28"/>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Marco geológico de referencia:</w:t>
      </w:r>
      <w:r w:rsidRPr="00B853B5">
        <w:rPr>
          <w:rFonts w:ascii="Garamond" w:eastAsia="Garamond" w:hAnsi="Garamond" w:cs="Garamond"/>
          <w:lang w:val="es-ES" w:eastAsia="en-US"/>
        </w:rPr>
        <w:t xml:space="preserve"> se requiere la definición del marco geológico general del sitio. Puede definirse a partir de literatura técnica disponible. </w:t>
      </w:r>
    </w:p>
    <w:p w14:paraId="3843978C" w14:textId="77777777" w:rsidR="00B853B5" w:rsidRPr="00B853B5" w:rsidRDefault="00B853B5" w:rsidP="00B853B5">
      <w:pPr>
        <w:spacing w:after="200" w:line="240" w:lineRule="auto"/>
        <w:ind w:left="720"/>
        <w:contextualSpacing/>
        <w:jc w:val="both"/>
        <w:rPr>
          <w:rFonts w:ascii="Garamond" w:eastAsia="Garamond" w:hAnsi="Garamond" w:cs="Garamond"/>
          <w:lang w:val="es-ES" w:eastAsia="en-US"/>
        </w:rPr>
      </w:pPr>
    </w:p>
    <w:p w14:paraId="1419AD9A" w14:textId="77777777" w:rsidR="00B853B5" w:rsidRPr="00B853B5" w:rsidRDefault="00B853B5" w:rsidP="00B853B5">
      <w:pPr>
        <w:numPr>
          <w:ilvl w:val="0"/>
          <w:numId w:val="28"/>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Ensayos de campo:</w:t>
      </w:r>
      <w:r w:rsidRPr="00B853B5">
        <w:rPr>
          <w:rFonts w:ascii="Garamond" w:eastAsia="Garamond" w:hAnsi="Garamond" w:cs="Garamond"/>
          <w:lang w:val="es-ES" w:eastAsia="en-US"/>
        </w:rPr>
        <w:t xml:space="preserve"> los estudios de suelos deben como mínimo los siguientes ensayos de campo:</w:t>
      </w:r>
    </w:p>
    <w:p w14:paraId="3825BB52"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Perforaciones: como mínimo 2 perforaciones por sitio de acuerdo con el Cuadro 2.1 del apartado 2.3 del Código de Cimentaciones de Costa Rica. Este mismo apartado debe servir como guía para planificar la separación máxima y la profundidad mínima requerida de las perforaciones. </w:t>
      </w:r>
    </w:p>
    <w:p w14:paraId="1A90127B"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Profundidad y ubicación del nivel freático en la condición más crítica. </w:t>
      </w:r>
    </w:p>
    <w:p w14:paraId="2421BC6C" w14:textId="77777777" w:rsidR="00B853B5" w:rsidRPr="00B853B5" w:rsidRDefault="00B853B5" w:rsidP="00B853B5">
      <w:pPr>
        <w:widowControl w:val="0"/>
        <w:autoSpaceDE w:val="0"/>
        <w:autoSpaceDN w:val="0"/>
        <w:spacing w:after="200" w:line="240" w:lineRule="auto"/>
        <w:ind w:left="2508"/>
        <w:contextualSpacing/>
        <w:jc w:val="both"/>
        <w:rPr>
          <w:rFonts w:ascii="Garamond" w:hAnsi="Garamond" w:cs="Arial"/>
          <w:bCs/>
          <w:lang w:val="es-ES" w:eastAsia="en-US"/>
        </w:rPr>
      </w:pPr>
    </w:p>
    <w:p w14:paraId="3D463681"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Ensayos de Laboratorio: </w:t>
      </w:r>
      <w:r w:rsidRPr="00B853B5">
        <w:rPr>
          <w:rFonts w:ascii="Garamond" w:eastAsia="Garamond" w:hAnsi="Garamond" w:cs="Garamond"/>
          <w:lang w:val="es-ES" w:eastAsia="en-US"/>
        </w:rPr>
        <w:t>Los estudios de suelos deben como mínimo los siguientes ensayos de laboratorio:</w:t>
      </w:r>
      <w:r w:rsidRPr="00B853B5">
        <w:rPr>
          <w:rFonts w:ascii="Garamond" w:eastAsia="Garamond" w:hAnsi="Garamond" w:cs="Garamond"/>
          <w:b/>
          <w:lang w:val="es-ES" w:eastAsia="en-US"/>
        </w:rPr>
        <w:t xml:space="preserve"> </w:t>
      </w:r>
    </w:p>
    <w:p w14:paraId="49A5C057"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Límites de Atterberg </w:t>
      </w:r>
    </w:p>
    <w:p w14:paraId="76D09C66"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Clasificación SUCS </w:t>
      </w:r>
    </w:p>
    <w:p w14:paraId="3C0CEA3E"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Porcentaje de Humedad </w:t>
      </w:r>
    </w:p>
    <w:p w14:paraId="568329A9"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Ensayos para determinar la resistencia al corte del suelo o la roca (corte directo, compresión inconfinada, triaxial o el que aplique según el tipo de material) o correlaciones a partir de los ensayos de campo. </w:t>
      </w:r>
    </w:p>
    <w:p w14:paraId="00E209C5" w14:textId="77777777" w:rsidR="00B853B5" w:rsidRPr="00B853B5" w:rsidRDefault="00B853B5" w:rsidP="00B853B5">
      <w:pPr>
        <w:widowControl w:val="0"/>
        <w:autoSpaceDE w:val="0"/>
        <w:autoSpaceDN w:val="0"/>
        <w:spacing w:after="200" w:line="240" w:lineRule="auto"/>
        <w:ind w:left="2508"/>
        <w:contextualSpacing/>
        <w:jc w:val="both"/>
        <w:rPr>
          <w:rFonts w:ascii="Garamond" w:hAnsi="Garamond" w:cs="Arial"/>
          <w:bCs/>
          <w:lang w:val="es-ES" w:eastAsia="en-US"/>
        </w:rPr>
      </w:pPr>
    </w:p>
    <w:p w14:paraId="7A9D8814"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Perfil Estratigráfico: </w:t>
      </w:r>
      <w:r w:rsidRPr="00B853B5">
        <w:rPr>
          <w:rFonts w:ascii="Garamond" w:eastAsia="Garamond" w:hAnsi="Garamond" w:cs="Garamond"/>
          <w:lang w:val="es-ES" w:eastAsia="en-US"/>
        </w:rPr>
        <w:t xml:space="preserve">Se obtiene integrando toda la información generada por el Análisis Geológico, las Perforaciones y los Ensayos de Laboratorio. </w:t>
      </w:r>
    </w:p>
    <w:p w14:paraId="087A6C58" w14:textId="77777777" w:rsidR="00B853B5" w:rsidRPr="00B853B5" w:rsidRDefault="00B853B5" w:rsidP="00B853B5">
      <w:pPr>
        <w:widowControl w:val="0"/>
        <w:autoSpaceDE w:val="0"/>
        <w:autoSpaceDN w:val="0"/>
        <w:spacing w:after="200" w:line="240" w:lineRule="auto"/>
        <w:ind w:left="1788"/>
        <w:contextualSpacing/>
        <w:jc w:val="both"/>
        <w:rPr>
          <w:rFonts w:ascii="Garamond" w:hAnsi="Garamond" w:cs="Arial"/>
          <w:bCs/>
          <w:lang w:val="es-ES" w:eastAsia="en-US"/>
        </w:rPr>
      </w:pPr>
    </w:p>
    <w:p w14:paraId="5B9B1B66"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Cálculo de capacidad de soporte admisible: </w:t>
      </w:r>
      <w:r w:rsidRPr="00B853B5">
        <w:rPr>
          <w:rFonts w:ascii="Garamond" w:eastAsia="Garamond" w:hAnsi="Garamond" w:cs="Garamond"/>
          <w:lang w:val="es-ES" w:eastAsia="en-US"/>
        </w:rPr>
        <w:t xml:space="preserve">Se determinará la capacidad de soporte última del sitio de cimentación. Aplicando un factor de seguridad adecuado, según el apartado 3.4 del Código de Cimentaciones de Costa Rica, se obtendrá la capacidad de soporte admisible para diseño. </w:t>
      </w:r>
    </w:p>
    <w:p w14:paraId="6876F111" w14:textId="77777777" w:rsidR="00B853B5" w:rsidRPr="00B853B5" w:rsidRDefault="00B853B5" w:rsidP="00B853B5">
      <w:pPr>
        <w:spacing w:after="200" w:line="240" w:lineRule="auto"/>
        <w:ind w:left="720"/>
        <w:contextualSpacing/>
        <w:jc w:val="both"/>
        <w:rPr>
          <w:rFonts w:ascii="Garamond" w:eastAsia="Garamond" w:hAnsi="Garamond" w:cs="Garamond"/>
          <w:b/>
          <w:lang w:val="es-ES" w:eastAsia="en-US"/>
        </w:rPr>
      </w:pPr>
    </w:p>
    <w:p w14:paraId="360B1149"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Análisis de Licuación:  </w:t>
      </w:r>
    </w:p>
    <w:p w14:paraId="61A2FDE0"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En el caso de que en algunas de las perforaciones se encontraran arenas finas, saturadas, mal graduadas y sueltas, se procederá a realizar un estudio detallado para evaluar el riesgo de </w:t>
      </w:r>
      <w:r w:rsidRPr="00B853B5">
        <w:rPr>
          <w:rFonts w:ascii="Garamond" w:eastAsia="Garamond" w:hAnsi="Garamond" w:cs="Garamond"/>
          <w:lang w:val="es-ES" w:eastAsia="en-US"/>
        </w:rPr>
        <w:lastRenderedPageBreak/>
        <w:t xml:space="preserve">licuación del suelo durante un sismo y prevenir así el colapso de las estructuras propuestas. </w:t>
      </w:r>
    </w:p>
    <w:p w14:paraId="44F26AD8"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Para el análisis de licuación se utilizarán los métodos indicados en el Código de Cimentaciones de Costa Rica. </w:t>
      </w:r>
    </w:p>
    <w:p w14:paraId="22F9AC99"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En el caso de que las capas arenosas potencialmente licuables tengan grandes profundidades, se presentarán gráficos mostrando el factor de seguridad contra la licuación y su variación con la profundidad. </w:t>
      </w:r>
    </w:p>
    <w:p w14:paraId="5F5F3209"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De encontrarse arenas licuables se presentarán diversas soluciones de cimentación que no sean vulnerables a este fenómeno, o soluciones basadas en métodos de mejoramiento del terreno. </w:t>
      </w:r>
    </w:p>
    <w:p w14:paraId="620F75E8" w14:textId="77777777" w:rsidR="00B853B5" w:rsidRPr="00B853B5" w:rsidRDefault="00B853B5" w:rsidP="00B853B5">
      <w:pPr>
        <w:widowControl w:val="0"/>
        <w:autoSpaceDE w:val="0"/>
        <w:autoSpaceDN w:val="0"/>
        <w:spacing w:after="200" w:line="240" w:lineRule="auto"/>
        <w:ind w:left="2508"/>
        <w:contextualSpacing/>
        <w:jc w:val="both"/>
        <w:rPr>
          <w:rFonts w:ascii="Garamond" w:hAnsi="Garamond" w:cs="Arial"/>
          <w:bCs/>
          <w:lang w:val="es-ES" w:eastAsia="en-US"/>
        </w:rPr>
      </w:pPr>
    </w:p>
    <w:p w14:paraId="062B420A" w14:textId="77777777" w:rsidR="00B853B5" w:rsidRPr="00B853B5" w:rsidRDefault="00B853B5" w:rsidP="00B853B5">
      <w:pPr>
        <w:numPr>
          <w:ilvl w:val="0"/>
          <w:numId w:val="28"/>
        </w:numPr>
        <w:spacing w:after="0" w:line="240" w:lineRule="auto"/>
        <w:contextualSpacing/>
        <w:jc w:val="both"/>
        <w:rPr>
          <w:rFonts w:ascii="Garamond" w:hAnsi="Garamond" w:cs="Arial"/>
          <w:b/>
          <w:bCs/>
          <w:lang w:val="es-ES" w:eastAsia="en-US"/>
        </w:rPr>
      </w:pPr>
      <w:r w:rsidRPr="00B853B5">
        <w:rPr>
          <w:rFonts w:ascii="Garamond" w:eastAsia="Garamond" w:hAnsi="Garamond" w:cs="Garamond"/>
          <w:b/>
          <w:lang w:val="es-ES" w:eastAsia="en-US"/>
        </w:rPr>
        <w:t xml:space="preserve">Análisis de Asentamientos: </w:t>
      </w:r>
    </w:p>
    <w:p w14:paraId="44913DAB"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Con el objeto de determinar si es necesario reducir o no la capacidad de soporte admisible, para regular los asentamientos esperados en el sitio, se requiere de un análisis preliminar a partir de correlaciones empíricas desarrolladas para los suelos de nuestro país, que arrojan resultados aproximados que permiten valorar los asentamientos por consolidación y los asentamientos elásticos. </w:t>
      </w:r>
    </w:p>
    <w:p w14:paraId="12F7A044"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En caso de ser necesario un análisis detallado de los asentamientos probables, dadas las propiedades físico-mecánicos de los materiales y el tipo de cimentaciones, se requerirá de ensayos especiales de consolidación en el laboratorio. Lo anterior solo en caso de ser estrictamente necesario para la seguridad de la obra. </w:t>
      </w:r>
    </w:p>
    <w:p w14:paraId="40CC0DB2" w14:textId="77777777" w:rsidR="00B853B5" w:rsidRPr="00B853B5" w:rsidRDefault="00B853B5" w:rsidP="00B853B5">
      <w:pPr>
        <w:widowControl w:val="0"/>
        <w:autoSpaceDE w:val="0"/>
        <w:autoSpaceDN w:val="0"/>
        <w:spacing w:after="200" w:line="240" w:lineRule="auto"/>
        <w:ind w:left="2508"/>
        <w:contextualSpacing/>
        <w:jc w:val="both"/>
        <w:rPr>
          <w:rFonts w:ascii="Garamond" w:hAnsi="Garamond" w:cs="Arial"/>
          <w:bCs/>
          <w:lang w:val="es-ES" w:eastAsia="en-US"/>
        </w:rPr>
      </w:pPr>
    </w:p>
    <w:p w14:paraId="6F3639F5"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Estabilidad de Taludes:</w:t>
      </w:r>
    </w:p>
    <w:p w14:paraId="0E5A531C"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Con el fin de garantizar que un eventual deslizamiento no afecte las estructuras, se requiere determinar si existen en el sitio zonas de inestabilidad y proceder a su análisis, para determinar las acciones correctivas que deben implementarse previo al inicio de las excavaciones de las fundaciones. </w:t>
      </w:r>
    </w:p>
    <w:p w14:paraId="3A330A40"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Con base en los parámetros de resistencia determinados en los ensayos de laboratorio o mediante correlaciones empíricas a partir de los ensayos de campo, se requiere estudiar la estabilidad de los taludes mediante el método de equilibrio límite, para determinar el factor de seguridad ante diferentes escenarios (condición estática seca, eventos de lluvia o sismos).</w:t>
      </w:r>
    </w:p>
    <w:p w14:paraId="531D121D" w14:textId="77777777" w:rsidR="00B853B5" w:rsidRPr="00B853B5" w:rsidRDefault="00B853B5" w:rsidP="00B853B5">
      <w:pPr>
        <w:widowControl w:val="0"/>
        <w:autoSpaceDE w:val="0"/>
        <w:autoSpaceDN w:val="0"/>
        <w:adjustRightInd w:val="0"/>
        <w:spacing w:after="200" w:line="240" w:lineRule="auto"/>
        <w:ind w:left="2508"/>
        <w:contextualSpacing/>
        <w:jc w:val="both"/>
        <w:rPr>
          <w:rFonts w:ascii="Garamond" w:hAnsi="Garamond" w:cs="Arial"/>
          <w:bCs/>
          <w:lang w:val="es-ES" w:eastAsia="en-US"/>
        </w:rPr>
      </w:pPr>
    </w:p>
    <w:p w14:paraId="1D4CCCB6"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Análisis de empujes laterales:</w:t>
      </w:r>
    </w:p>
    <w:p w14:paraId="2656245B"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Con base en las propiedades de resistencia al corte del suelo determinadas mediante ensayos de campo o de laboratorio y de correlaciones empíricas se deberá determinar los coeficientes de empuje de tierras en reposo, activo y pasivo, para el diseño de muros de retención o cualquier otra estructura sometida a empujes laterales del terreno. </w:t>
      </w:r>
    </w:p>
    <w:p w14:paraId="51BD806A"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Se debe recomendar el coeficiente a utilizar para la determinación de las cargas laterales según el tipo de estructura que se vaya a diseñar. </w:t>
      </w:r>
    </w:p>
    <w:p w14:paraId="6DF435AD" w14:textId="77777777" w:rsidR="00B853B5" w:rsidRPr="00B853B5" w:rsidRDefault="00B853B5" w:rsidP="00B853B5">
      <w:pPr>
        <w:widowControl w:val="0"/>
        <w:autoSpaceDE w:val="0"/>
        <w:autoSpaceDN w:val="0"/>
        <w:adjustRightInd w:val="0"/>
        <w:spacing w:after="200" w:line="240" w:lineRule="auto"/>
        <w:ind w:left="2508"/>
        <w:contextualSpacing/>
        <w:jc w:val="both"/>
        <w:rPr>
          <w:rFonts w:ascii="Garamond" w:hAnsi="Garamond" w:cs="Arial"/>
          <w:bCs/>
          <w:lang w:val="es-ES" w:eastAsia="en-US"/>
        </w:rPr>
      </w:pPr>
    </w:p>
    <w:p w14:paraId="4CBC1F83" w14:textId="77777777" w:rsidR="00B853B5" w:rsidRPr="00B853B5" w:rsidRDefault="00B853B5" w:rsidP="00B853B5">
      <w:pPr>
        <w:numPr>
          <w:ilvl w:val="0"/>
          <w:numId w:val="2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Análisis de las Cimentaciones:</w:t>
      </w:r>
    </w:p>
    <w:p w14:paraId="6811D38E"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Considerando los resultados de campo y de laboratorio, las características de las estructuras propuestas, el perfil estratigráfico, el cálculo de capacidad de soporte, el análisis de Licuación, el análisis de asentamientos, la estabilidad de taludes temporales y permanentes, aspectos sísmicos y todos aquellos aspectos geotécnicos (coeficientes activos, pasivos, etc.) que sean necesarios considerar en el diseño o en la construcción; se deberá recomendar el tipo de cimentación, indicando la profundidad de desplante y la capacidad de soporte admisible en cada caso y descartar los tipos de cimentación que no son convenientes. </w:t>
      </w:r>
    </w:p>
    <w:p w14:paraId="0EEDEF2B" w14:textId="77777777" w:rsidR="00B853B5" w:rsidRPr="00B853B5" w:rsidRDefault="00B853B5" w:rsidP="00B853B5">
      <w:pPr>
        <w:widowControl w:val="0"/>
        <w:numPr>
          <w:ilvl w:val="0"/>
          <w:numId w:val="29"/>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Además de las recomendaciones técnicas (de tipo, de forma, profundidad de desplante y capacidad de soporte admisible de cada cimentación), se requiere que en el informe final se indiquen las consideraciones constructivas para el cimiento de la estructura propuesta, así como cualquier conclusión y recomendación. </w:t>
      </w:r>
    </w:p>
    <w:p w14:paraId="58FCEC68" w14:textId="77777777" w:rsidR="00B853B5" w:rsidRPr="00B853B5" w:rsidRDefault="00B853B5" w:rsidP="00B853B5">
      <w:pPr>
        <w:widowControl w:val="0"/>
        <w:autoSpaceDE w:val="0"/>
        <w:autoSpaceDN w:val="0"/>
        <w:adjustRightInd w:val="0"/>
        <w:spacing w:after="200" w:line="240" w:lineRule="auto"/>
        <w:ind w:left="2508"/>
        <w:contextualSpacing/>
        <w:jc w:val="both"/>
        <w:rPr>
          <w:rFonts w:ascii="Garamond" w:hAnsi="Garamond" w:cs="Arial"/>
          <w:bCs/>
          <w:lang w:val="es-ES" w:eastAsia="en-US"/>
        </w:rPr>
      </w:pPr>
    </w:p>
    <w:p w14:paraId="7A063CED" w14:textId="77777777" w:rsidR="00B853B5" w:rsidRPr="00B853B5" w:rsidRDefault="00B853B5" w:rsidP="00B853B5">
      <w:pPr>
        <w:numPr>
          <w:ilvl w:val="0"/>
          <w:numId w:val="28"/>
        </w:numPr>
        <w:spacing w:after="0" w:line="240" w:lineRule="auto"/>
        <w:contextualSpacing/>
        <w:jc w:val="both"/>
        <w:rPr>
          <w:rFonts w:ascii="Garamond" w:hAnsi="Garamond" w:cs="Arial"/>
          <w:bCs/>
          <w:lang w:val="es-ES" w:eastAsia="en-US"/>
        </w:rPr>
      </w:pPr>
      <w:r w:rsidRPr="00B853B5">
        <w:rPr>
          <w:rFonts w:ascii="Garamond" w:eastAsia="Garamond" w:hAnsi="Garamond" w:cs="Garamond"/>
          <w:b/>
          <w:lang w:val="es-ES" w:eastAsia="en-US"/>
        </w:rPr>
        <w:t xml:space="preserve">Acreditación: </w:t>
      </w:r>
      <w:r w:rsidRPr="00B853B5">
        <w:rPr>
          <w:rFonts w:ascii="Garamond" w:eastAsia="Garamond" w:hAnsi="Garamond" w:cs="Garamond"/>
          <w:lang w:val="es-ES" w:eastAsia="en-US"/>
        </w:rPr>
        <w:t>El estudio de suelos deberá indicar el respectivo documento que certifique que el laboratorio cuenta con la acreditación del ECA para la realización de los ensayos incluidos en el estudio geotécnico</w:t>
      </w:r>
      <w:r w:rsidRPr="00B853B5">
        <w:rPr>
          <w:rFonts w:ascii="Garamond" w:hAnsi="Garamond" w:cs="Arial"/>
          <w:bCs/>
          <w:lang w:val="es-ES" w:eastAsia="en-US"/>
        </w:rPr>
        <w:t xml:space="preserve">. </w:t>
      </w:r>
    </w:p>
    <w:p w14:paraId="5C5C468F" w14:textId="77777777" w:rsidR="00B853B5" w:rsidRPr="00B853B5" w:rsidRDefault="00B853B5" w:rsidP="00B853B5">
      <w:pPr>
        <w:spacing w:after="200" w:line="240" w:lineRule="auto"/>
        <w:ind w:left="1440"/>
        <w:contextualSpacing/>
        <w:jc w:val="both"/>
        <w:rPr>
          <w:rFonts w:ascii="Garamond" w:hAnsi="Garamond" w:cs="Arial"/>
          <w:bCs/>
          <w:lang w:val="es-ES" w:eastAsia="en-US"/>
        </w:rPr>
      </w:pPr>
    </w:p>
    <w:p w14:paraId="5B0BBC88"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Memoria de cálculo para diseño hidráulico: </w:t>
      </w:r>
    </w:p>
    <w:p w14:paraId="6C4C8C6A"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Dentro de la información que debe contener cada componente del diseño hidráulico, se detalla lo siguiente: </w:t>
      </w:r>
    </w:p>
    <w:p w14:paraId="4FB3A4A2"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Parámetros de diseño según la normativa de diseño de AyA vigente:</w:t>
      </w:r>
    </w:p>
    <w:p w14:paraId="39BFCAD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Población inicial </w:t>
      </w:r>
    </w:p>
    <w:p w14:paraId="0DD695B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Tasas de crecimiento poblacional </w:t>
      </w:r>
    </w:p>
    <w:p w14:paraId="7C39887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Factor de hacinamiento </w:t>
      </w:r>
    </w:p>
    <w:p w14:paraId="4635C71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Dotaciones </w:t>
      </w:r>
    </w:p>
    <w:p w14:paraId="18230F6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Población de diseño </w:t>
      </w:r>
    </w:p>
    <w:p w14:paraId="1413952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Caudal disponible </w:t>
      </w:r>
    </w:p>
    <w:p w14:paraId="4E4EAB40"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Caudales de diseño </w:t>
      </w:r>
    </w:p>
    <w:p w14:paraId="3B0C902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Balance hídrico </w:t>
      </w:r>
    </w:p>
    <w:p w14:paraId="6C0373E5"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Captaciones de nacientes:</w:t>
      </w:r>
    </w:p>
    <w:p w14:paraId="5B8213D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hidráulico de las captaciones existentes y a construir, lo cual incluye definición de tuberías de salida, limpieza, rebalse y válvulas a instalar. </w:t>
      </w:r>
    </w:p>
    <w:p w14:paraId="283F5467"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Tomas superficiales:</w:t>
      </w:r>
    </w:p>
    <w:p w14:paraId="2095C996"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Evaluación de avenidas máximas y zonas de inundación. </w:t>
      </w:r>
    </w:p>
    <w:p w14:paraId="2D6354F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Análisis y diseño hidráulico de tomas superficiales.</w:t>
      </w:r>
    </w:p>
    <w:p w14:paraId="56C02B0D"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Desarenadores: </w:t>
      </w:r>
    </w:p>
    <w:p w14:paraId="254073F5"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Análisis y diseño de la cámara de entrada con medición de caudal.</w:t>
      </w:r>
    </w:p>
    <w:p w14:paraId="34AD3680"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hidráulico del desarenador. </w:t>
      </w:r>
    </w:p>
    <w:p w14:paraId="7410A4B0"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la cámara de salida. </w:t>
      </w:r>
    </w:p>
    <w:p w14:paraId="3D8AEC1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tuberías de entrada, salida, rebose, limpieza y desagüe. </w:t>
      </w:r>
    </w:p>
    <w:p w14:paraId="15914897"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Sistemas de tratamiento: </w:t>
      </w:r>
    </w:p>
    <w:p w14:paraId="019A8ED8"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cámara de entradas con medición de caudal y turbiedad de agua. </w:t>
      </w:r>
    </w:p>
    <w:p w14:paraId="21669A9C"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la cámara de salida con medición de caudal, control de cloro residual. </w:t>
      </w:r>
    </w:p>
    <w:p w14:paraId="7846179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del proceso y operaciones unitarias (transformación de la materia a través de procesos químicos o físicos). Las plantas de tratamiento se deben ajustar a plantas de filtración en múltiples etapas o filtración rápida con la tecnología CEPIS. </w:t>
      </w:r>
    </w:p>
    <w:p w14:paraId="34047ED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hidráulico del sistema de tratamiento. </w:t>
      </w:r>
    </w:p>
    <w:p w14:paraId="2B830B7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tuberías de entrada, salida, rebalse, limpieza, desagües etc. </w:t>
      </w:r>
    </w:p>
    <w:p w14:paraId="5D5CD79C"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del manejo de las aguas de lluvia. </w:t>
      </w:r>
    </w:p>
    <w:p w14:paraId="4DC858A8"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del tanque de contacto de cloro. </w:t>
      </w:r>
    </w:p>
    <w:p w14:paraId="19FE0ED5"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del sistema de desinfección. </w:t>
      </w:r>
    </w:p>
    <w:p w14:paraId="428BC72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laboratorio para realización de pruebas de control de calidad del agua. </w:t>
      </w:r>
    </w:p>
    <w:p w14:paraId="076367AE"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Estaciones de bombeo: </w:t>
      </w:r>
    </w:p>
    <w:p w14:paraId="0B8D2926" w14:textId="77777777" w:rsidR="00B853B5" w:rsidRPr="00B853B5" w:rsidRDefault="00B853B5" w:rsidP="00B853B5">
      <w:pPr>
        <w:numPr>
          <w:ilvl w:val="0"/>
          <w:numId w:val="31"/>
        </w:numPr>
        <w:spacing w:after="0" w:line="240" w:lineRule="auto"/>
        <w:contextualSpacing/>
        <w:jc w:val="both"/>
        <w:rPr>
          <w:rFonts w:ascii="Garamond" w:hAnsi="Garamond" w:cs="Arial"/>
          <w:bCs/>
          <w:lang w:val="es-ES" w:eastAsia="en-US"/>
        </w:rPr>
      </w:pPr>
      <w:r w:rsidRPr="00B853B5">
        <w:rPr>
          <w:rFonts w:ascii="Garamond" w:eastAsia="Garamond" w:hAnsi="Garamond" w:cs="Garamond"/>
          <w:lang w:val="es-ES" w:eastAsia="en-US"/>
        </w:rPr>
        <w:t>Análisis y diseño hidráulico del sistema de bombeo</w:t>
      </w:r>
      <w:r w:rsidRPr="00B853B5">
        <w:rPr>
          <w:rFonts w:ascii="Garamond" w:hAnsi="Garamond" w:cs="Arial"/>
          <w:bCs/>
          <w:lang w:val="es-ES" w:eastAsia="en-US"/>
        </w:rPr>
        <w:t xml:space="preserve">. </w:t>
      </w:r>
    </w:p>
    <w:p w14:paraId="41704D5A"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Tanques: El análisis y diseño del volumen de los tanques almacenamiento debe contar al menos con lo siguiente: </w:t>
      </w:r>
    </w:p>
    <w:p w14:paraId="0C545887"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Determinación del volumen de los tanques de almacenamientos existentes.</w:t>
      </w:r>
    </w:p>
    <w:p w14:paraId="1AD4FCE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Cálculo de los volúmenes de requeridos para cada una de las zonas de presión del sistema. </w:t>
      </w:r>
    </w:p>
    <w:p w14:paraId="77F7C751"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 xml:space="preserve">Balance de almacenamiento. </w:t>
      </w:r>
    </w:p>
    <w:p w14:paraId="77A6699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Cálculo del volumen de los tanques de almacenamiento y el volumen de los tanques quiebragradientes a construir. </w:t>
      </w:r>
    </w:p>
    <w:p w14:paraId="462E50D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las tuberías de entrada, salida, limpieza, rebalse, desagüe y manejo de aguas llovidas. </w:t>
      </w:r>
    </w:p>
    <w:p w14:paraId="79DF8FAE" w14:textId="77777777" w:rsidR="00B853B5" w:rsidRPr="00B853B5" w:rsidRDefault="00B853B5" w:rsidP="00B853B5">
      <w:pPr>
        <w:numPr>
          <w:ilvl w:val="0"/>
          <w:numId w:val="30"/>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Tuberías de conducción y distribución: El análisis y diseño  de las tuberías de conducción y distribución debe contar al menos con lo siguiente: </w:t>
      </w:r>
    </w:p>
    <w:p w14:paraId="10980F0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Determinación del volumen de los tanques de almacenamientos existentes. </w:t>
      </w:r>
    </w:p>
    <w:p w14:paraId="34857375"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Cálculo de los volúmenes de requeridos para cada una de las zonas de presión del sistema. </w:t>
      </w:r>
    </w:p>
    <w:p w14:paraId="7EAB2944"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Balance de almacenamiento. </w:t>
      </w:r>
    </w:p>
    <w:p w14:paraId="075B06C6"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Cálculo del volumen de los tanques de almacenamiento y el volumen de los tanques quiebragradientes a construir. </w:t>
      </w:r>
    </w:p>
    <w:p w14:paraId="4A1F9127"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las tuberías de entrada, salida, limpieza, rebalse, desagüe y manejo de aguas llovidas. </w:t>
      </w:r>
    </w:p>
    <w:p w14:paraId="381059FD" w14:textId="77777777" w:rsidR="00B853B5" w:rsidRPr="00B853B5" w:rsidRDefault="00B853B5" w:rsidP="00B853B5">
      <w:pPr>
        <w:adjustRightInd w:val="0"/>
        <w:spacing w:after="200" w:line="240" w:lineRule="auto"/>
        <w:ind w:left="2880"/>
        <w:contextualSpacing/>
        <w:jc w:val="both"/>
        <w:rPr>
          <w:rFonts w:ascii="Garamond" w:hAnsi="Garamond" w:cs="Arial"/>
          <w:bCs/>
          <w:lang w:val="es-ES" w:eastAsia="en-US"/>
        </w:rPr>
      </w:pPr>
    </w:p>
    <w:p w14:paraId="66590A10"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Hidrantes:</w:t>
      </w:r>
    </w:p>
    <w:p w14:paraId="00E3E8C6"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Todo sistema de acueducto deberá contar con los hidrantes en las condiciones técnicas y de operación requeridas por el Benemérito Cuerpo de Bomberos de Costa Rica, tal como lo establece la normativa vigente (Ley N° 8641 Declaratoria del Servicio de Hidrantes como Servicio Público y Reforma de Leyes Conexas), por lo que se debe presentar un documento del Benemérito Cuerpo de Bomberos de Costa Rica, donde se indique la ubicación y cantidad de hidrantes requeridos en el sistema.  </w:t>
      </w:r>
    </w:p>
    <w:p w14:paraId="4265A90E"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51134F9C"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Sistemas de medición:</w:t>
      </w:r>
    </w:p>
    <w:p w14:paraId="6CE1EA96"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Medidores de caudal: Todo sistema de abastecimiento de agua potable debe incluir los medidores según requisitos técnicos del sistema; éstos deben ubicarse a la entrada y salida de los centros de producción y, al inicio de los centros de consumo según las zonas de abastecimiento. Lo anterior se fundamenta en la norma técnica de diseño de AyA 2017-281. </w:t>
      </w:r>
    </w:p>
    <w:p w14:paraId="31F1714E"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16949E12"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Hidrómetros: Toda conexión debe estar dotada de su correspondiente medidor. </w:t>
      </w:r>
    </w:p>
    <w:p w14:paraId="5E80DF1F"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10FC8626"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Los hidrómetros y las cajas que se seleccionen deben cumplir con la norma AR-HSA-2008 “Hidrómetros para el servicio de acueducto”, emitida por ARESEP en su versión vigente.</w:t>
      </w:r>
    </w:p>
    <w:p w14:paraId="42B32A22"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6E643B62"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hAnsi="Garamond" w:cs="Arial"/>
          <w:b/>
          <w:bCs/>
          <w:lang w:val="es-ES" w:eastAsia="en-US"/>
        </w:rPr>
        <w:t xml:space="preserve"> </w:t>
      </w:r>
      <w:r w:rsidRPr="00B853B5">
        <w:rPr>
          <w:rFonts w:ascii="Garamond" w:eastAsia="Garamond" w:hAnsi="Garamond" w:cs="Garamond"/>
          <w:b/>
          <w:lang w:val="es-ES" w:eastAsia="en-US"/>
        </w:rPr>
        <w:t xml:space="preserve">Memoria de cálculo para diseño estructural </w:t>
      </w:r>
    </w:p>
    <w:p w14:paraId="1647010F"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los sistemas de acueductos existentes, se deberá realizar una valoración de la integridad estructural de todos los componentes del sistema, para determinar su estado general. Se deberá indicar también la antigüedad de las estructuras, tuberías, equipos, entre otros. </w:t>
      </w:r>
    </w:p>
    <w:p w14:paraId="3D006A00"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53EF5BC3"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Para nuevas obras, el diseño estructural de cada componente deberá contener lo siguiente: </w:t>
      </w:r>
    </w:p>
    <w:p w14:paraId="20A038E9"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3DB3F9CB" w14:textId="77777777" w:rsidR="00B853B5" w:rsidRPr="00B853B5" w:rsidRDefault="00B853B5" w:rsidP="00B853B5">
      <w:pPr>
        <w:numPr>
          <w:ilvl w:val="0"/>
          <w:numId w:val="32"/>
        </w:numPr>
        <w:spacing w:after="0" w:line="240" w:lineRule="auto"/>
        <w:contextualSpacing/>
        <w:jc w:val="both"/>
        <w:rPr>
          <w:rFonts w:ascii="Garamond" w:hAnsi="Garamond" w:cs="Arial"/>
          <w:bCs/>
          <w:lang w:val="es-ES" w:eastAsia="en-US"/>
        </w:rPr>
      </w:pPr>
      <w:r w:rsidRPr="00B853B5">
        <w:rPr>
          <w:rFonts w:ascii="Garamond" w:eastAsia="Garamond" w:hAnsi="Garamond" w:cs="Garamond"/>
          <w:lang w:val="es-ES" w:eastAsia="en-US"/>
        </w:rPr>
        <w:t>Captaciones:</w:t>
      </w:r>
    </w:p>
    <w:p w14:paraId="3C82AE9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w:t>
      </w:r>
    </w:p>
    <w:p w14:paraId="7C70F2D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de la captación. </w:t>
      </w:r>
    </w:p>
    <w:p w14:paraId="14219C25"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Protección de taludes aguas arriba de la nacientes y manejo de aguas de escorrentía. </w:t>
      </w:r>
    </w:p>
    <w:p w14:paraId="686FF02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295D41FE" w14:textId="77777777" w:rsidR="00B853B5" w:rsidRPr="00B853B5" w:rsidRDefault="00B853B5" w:rsidP="00B853B5">
      <w:pPr>
        <w:numPr>
          <w:ilvl w:val="0"/>
          <w:numId w:val="3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Tomas superficiales:</w:t>
      </w:r>
    </w:p>
    <w:p w14:paraId="79B972B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w:t>
      </w:r>
    </w:p>
    <w:p w14:paraId="5A73586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de la presa. </w:t>
      </w:r>
    </w:p>
    <w:p w14:paraId="1612898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 xml:space="preserve">Diseño de cajas de registro y cajas de válvulas. </w:t>
      </w:r>
    </w:p>
    <w:p w14:paraId="60330FC1"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protección de las márgenes del río con base en los resultados del estudio hidrológico. </w:t>
      </w:r>
    </w:p>
    <w:p w14:paraId="21F047C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19FEE0B5" w14:textId="77777777" w:rsidR="00B853B5" w:rsidRPr="00B853B5" w:rsidRDefault="00B853B5" w:rsidP="00B853B5">
      <w:pPr>
        <w:numPr>
          <w:ilvl w:val="0"/>
          <w:numId w:val="3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Desarenadores:</w:t>
      </w:r>
    </w:p>
    <w:p w14:paraId="61FF4EC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w:t>
      </w:r>
    </w:p>
    <w:p w14:paraId="1A7F0084"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del desarenador. </w:t>
      </w:r>
    </w:p>
    <w:p w14:paraId="15438CF7"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cajas de registro y cajas de válvulas. </w:t>
      </w:r>
    </w:p>
    <w:p w14:paraId="5B839E5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635F76A8" w14:textId="77777777" w:rsidR="00B853B5" w:rsidRPr="00B853B5" w:rsidRDefault="00B853B5" w:rsidP="00B853B5">
      <w:pPr>
        <w:numPr>
          <w:ilvl w:val="0"/>
          <w:numId w:val="3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Sistemas de tratamiento:</w:t>
      </w:r>
    </w:p>
    <w:p w14:paraId="6057E43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para construcción del sistema de tratamiento. </w:t>
      </w:r>
    </w:p>
    <w:p w14:paraId="26DA31D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arquitectónico. </w:t>
      </w:r>
    </w:p>
    <w:p w14:paraId="1BB729F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de las obras a construir (estructuras de tratamiento, muros, cajas de registro, casetas, bloques de anclaje, cajas etc.). </w:t>
      </w:r>
    </w:p>
    <w:p w14:paraId="5CD11A21"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5CE44F6F" w14:textId="77777777" w:rsidR="00B853B5" w:rsidRPr="00B853B5" w:rsidRDefault="00B853B5" w:rsidP="00B853B5">
      <w:pPr>
        <w:numPr>
          <w:ilvl w:val="0"/>
          <w:numId w:val="3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Estaciones de bombeo:</w:t>
      </w:r>
    </w:p>
    <w:p w14:paraId="3DC8414C"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arquitectónico. </w:t>
      </w:r>
    </w:p>
    <w:p w14:paraId="467DD0A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de la estación de bombeo. </w:t>
      </w:r>
    </w:p>
    <w:p w14:paraId="63B9B064"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casetas, cajas de registro y cajas de válvulas. </w:t>
      </w:r>
    </w:p>
    <w:p w14:paraId="65B0C87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4A084D49" w14:textId="77777777" w:rsidR="00B853B5" w:rsidRPr="00B853B5" w:rsidRDefault="00B853B5" w:rsidP="00B853B5">
      <w:pPr>
        <w:numPr>
          <w:ilvl w:val="0"/>
          <w:numId w:val="32"/>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Tanques de almacenamiento y quiebragradientes:</w:t>
      </w:r>
    </w:p>
    <w:p w14:paraId="3B89B63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w:t>
      </w:r>
    </w:p>
    <w:p w14:paraId="2D2168B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de los tanques. </w:t>
      </w:r>
    </w:p>
    <w:p w14:paraId="75BB793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Cajas de válvulas. </w:t>
      </w:r>
    </w:p>
    <w:p w14:paraId="342718E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Obras complementarias (accesos, cercas perimetrales, obras de protección, etc.). </w:t>
      </w:r>
    </w:p>
    <w:p w14:paraId="5AF3974E" w14:textId="77777777" w:rsidR="00B853B5" w:rsidRPr="00B853B5" w:rsidRDefault="00B853B5" w:rsidP="00B853B5">
      <w:pPr>
        <w:numPr>
          <w:ilvl w:val="0"/>
          <w:numId w:val="32"/>
        </w:numPr>
        <w:spacing w:after="0" w:line="240" w:lineRule="auto"/>
        <w:contextualSpacing/>
        <w:jc w:val="both"/>
        <w:rPr>
          <w:rFonts w:ascii="Garamond" w:hAnsi="Garamond" w:cs="Arial"/>
          <w:bCs/>
          <w:lang w:val="es-ES" w:eastAsia="en-US"/>
        </w:rPr>
      </w:pPr>
      <w:r w:rsidRPr="00B853B5">
        <w:rPr>
          <w:rFonts w:ascii="Garamond" w:eastAsia="Garamond" w:hAnsi="Garamond" w:cs="Garamond"/>
          <w:lang w:val="es-ES" w:eastAsia="en-US"/>
        </w:rPr>
        <w:t>Tuberías de conducción y distribución</w:t>
      </w:r>
      <w:r w:rsidRPr="00B853B5">
        <w:rPr>
          <w:rFonts w:ascii="Garamond" w:hAnsi="Garamond" w:cs="Arial"/>
          <w:bCs/>
          <w:lang w:val="es-ES" w:eastAsia="en-US"/>
        </w:rPr>
        <w:t>:</w:t>
      </w:r>
    </w:p>
    <w:p w14:paraId="4E00846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Bloques de anclaje. </w:t>
      </w:r>
    </w:p>
    <w:p w14:paraId="04E4EB18"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Pasos elevados, pasos por bajo de cauces, tuberías apoyadas a puentes. </w:t>
      </w:r>
    </w:p>
    <w:p w14:paraId="5D1BB29C"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Cajas de Válvulas. </w:t>
      </w:r>
    </w:p>
    <w:p w14:paraId="0AA00209" w14:textId="77777777" w:rsidR="00B853B5" w:rsidRPr="00B853B5" w:rsidRDefault="00B853B5" w:rsidP="00B853B5">
      <w:pPr>
        <w:numPr>
          <w:ilvl w:val="0"/>
          <w:numId w:val="32"/>
        </w:numPr>
        <w:spacing w:after="0" w:line="240" w:lineRule="auto"/>
        <w:contextualSpacing/>
        <w:jc w:val="both"/>
        <w:rPr>
          <w:rFonts w:ascii="Garamond" w:hAnsi="Garamond" w:cs="Arial"/>
          <w:bCs/>
          <w:lang w:val="es-ES" w:eastAsia="en-US"/>
        </w:rPr>
      </w:pPr>
      <w:r w:rsidRPr="00B853B5">
        <w:rPr>
          <w:rFonts w:ascii="Garamond" w:eastAsia="Garamond" w:hAnsi="Garamond" w:cs="Garamond"/>
          <w:lang w:val="es-ES" w:eastAsia="en-US"/>
        </w:rPr>
        <w:t>Oficinas y bodegas</w:t>
      </w:r>
      <w:r w:rsidRPr="00B853B5">
        <w:rPr>
          <w:rFonts w:ascii="Garamond" w:hAnsi="Garamond" w:cs="Arial"/>
          <w:bCs/>
          <w:lang w:val="es-ES" w:eastAsia="en-US"/>
        </w:rPr>
        <w:t>:</w:t>
      </w:r>
    </w:p>
    <w:p w14:paraId="377AD44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de sitio. </w:t>
      </w:r>
    </w:p>
    <w:p w14:paraId="7E2FA7A6"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arquitectónico. </w:t>
      </w:r>
    </w:p>
    <w:p w14:paraId="053F7A0D"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Diseño estructural. </w:t>
      </w:r>
    </w:p>
    <w:p w14:paraId="6F3A0A2E" w14:textId="77777777" w:rsidR="00B853B5" w:rsidRPr="00B853B5" w:rsidRDefault="00B853B5" w:rsidP="00B853B5">
      <w:pPr>
        <w:spacing w:after="200" w:line="240" w:lineRule="auto"/>
        <w:ind w:left="1428"/>
        <w:contextualSpacing/>
        <w:jc w:val="both"/>
        <w:rPr>
          <w:rFonts w:ascii="Garamond" w:eastAsia="Garamond" w:hAnsi="Garamond" w:cs="Garamond"/>
          <w:lang w:val="es-ES" w:eastAsia="en-US"/>
        </w:rPr>
      </w:pPr>
    </w:p>
    <w:p w14:paraId="20A56F2A"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Memoria de cálculo para diseño electromecánico:</w:t>
      </w:r>
    </w:p>
    <w:p w14:paraId="05A659D4"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Dentro de la información que debe contener cada componente del análisis y diseño electromecánico, se detalla lo siguiente: </w:t>
      </w:r>
    </w:p>
    <w:p w14:paraId="59D0DD00"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3CBB31AD" w14:textId="77777777" w:rsidR="00B853B5" w:rsidRPr="00B853B5" w:rsidRDefault="00B853B5" w:rsidP="00B853B5">
      <w:pPr>
        <w:numPr>
          <w:ilvl w:val="0"/>
          <w:numId w:val="3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Estaciones de bombeo: </w:t>
      </w:r>
    </w:p>
    <w:p w14:paraId="746D8A2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electromecánico de los equipos. </w:t>
      </w:r>
    </w:p>
    <w:p w14:paraId="295A890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acometida primaria y secundaria. </w:t>
      </w:r>
    </w:p>
    <w:p w14:paraId="1147EA06"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sistemas de control de los equipos. </w:t>
      </w:r>
    </w:p>
    <w:p w14:paraId="0EE9B42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eléctrico y electromecánico. </w:t>
      </w:r>
    </w:p>
    <w:p w14:paraId="36B1436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sistemas de control de la planta. </w:t>
      </w:r>
    </w:p>
    <w:p w14:paraId="49740E07" w14:textId="77777777" w:rsidR="00B853B5" w:rsidRPr="00B853B5" w:rsidRDefault="00B853B5" w:rsidP="00B853B5">
      <w:pPr>
        <w:numPr>
          <w:ilvl w:val="0"/>
          <w:numId w:val="3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Plantas potabilizadoras:</w:t>
      </w:r>
    </w:p>
    <w:p w14:paraId="044AF831"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eléctrico y electromecánico. </w:t>
      </w:r>
    </w:p>
    <w:p w14:paraId="4B201484"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Análisis y diseño de sistemas de control de la planta. </w:t>
      </w:r>
    </w:p>
    <w:p w14:paraId="28BFE5F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Tanques de almacenamiento. </w:t>
      </w:r>
    </w:p>
    <w:p w14:paraId="64E52E28" w14:textId="77777777" w:rsidR="00B853B5" w:rsidRPr="00B853B5" w:rsidRDefault="00B853B5" w:rsidP="00B853B5">
      <w:pPr>
        <w:numPr>
          <w:ilvl w:val="0"/>
          <w:numId w:val="3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 xml:space="preserve">Sistemas de desinfección. </w:t>
      </w:r>
    </w:p>
    <w:p w14:paraId="4728AC0B" w14:textId="77777777" w:rsidR="00B853B5" w:rsidRPr="00B853B5" w:rsidRDefault="00B853B5" w:rsidP="00B853B5">
      <w:pPr>
        <w:numPr>
          <w:ilvl w:val="0"/>
          <w:numId w:val="3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Equipos especiales. </w:t>
      </w:r>
    </w:p>
    <w:p w14:paraId="7E5CF0F8" w14:textId="77777777" w:rsidR="00B853B5" w:rsidRPr="00B853B5" w:rsidRDefault="00B853B5" w:rsidP="00B853B5">
      <w:pPr>
        <w:numPr>
          <w:ilvl w:val="0"/>
          <w:numId w:val="33"/>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Oficinas y bodegas. </w:t>
      </w:r>
    </w:p>
    <w:p w14:paraId="4E95452A"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4F8B4BD3"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Planos </w:t>
      </w:r>
    </w:p>
    <w:p w14:paraId="2DE8C940"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Dentro de la información que se deben incluir los planos, se detalla lo siguiente: </w:t>
      </w:r>
    </w:p>
    <w:p w14:paraId="567D6FCB"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Ubicación del sistema actual y de las obras a construir en coordenadas CRTM05.</w:t>
      </w:r>
    </w:p>
    <w:p w14:paraId="2536ACE5"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Trazado de tuberías con escalas en planta y perfil de acuerdo con la norma técnica de diseño de AyA vigente. </w:t>
      </w:r>
    </w:p>
    <w:p w14:paraId="3D93811E"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Indicación de los puntos del levantamiento topográfico y de los nodos utilizados en la modelación hidráulica. </w:t>
      </w:r>
    </w:p>
    <w:p w14:paraId="5ECD3104"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Ubicación georreferenciada de los principales componentes del sistema. </w:t>
      </w:r>
    </w:p>
    <w:p w14:paraId="00DE4D7C"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Tabla de coordenadas y derrotero (nombre del punto, coordenadas CRTM05, elevación, tramos, distancias y descripciones), con un error máximo en planimetría y altimetría de ± 1,0 m. </w:t>
      </w:r>
    </w:p>
    <w:p w14:paraId="6B4F3827"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Simbología y norte. </w:t>
      </w:r>
    </w:p>
    <w:p w14:paraId="592A3384"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Detalles de colocación de tubería y accesorios:</w:t>
      </w:r>
    </w:p>
    <w:p w14:paraId="4307445E"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Profundidad de zanjas. </w:t>
      </w:r>
    </w:p>
    <w:p w14:paraId="08D695D4"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Cruces de tubería. </w:t>
      </w:r>
    </w:p>
    <w:p w14:paraId="2B3EAB07"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Bloques de anclaje. </w:t>
      </w:r>
    </w:p>
    <w:p w14:paraId="1E33EA2F"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Válvulas (control, aire, lavado, etc.). </w:t>
      </w:r>
    </w:p>
    <w:p w14:paraId="48ABE138"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Hidrantes. </w:t>
      </w:r>
    </w:p>
    <w:p w14:paraId="04EBFA8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Sistemas de medición (macro medición y micro medición). </w:t>
      </w:r>
    </w:p>
    <w:p w14:paraId="6BF62CE8" w14:textId="77777777" w:rsidR="00B853B5" w:rsidRPr="00B853B5" w:rsidRDefault="00B853B5" w:rsidP="00B853B5">
      <w:pPr>
        <w:numPr>
          <w:ilvl w:val="0"/>
          <w:numId w:val="34"/>
        </w:numPr>
        <w:spacing w:after="0" w:line="240" w:lineRule="auto"/>
        <w:contextualSpacing/>
        <w:jc w:val="both"/>
        <w:rPr>
          <w:rFonts w:ascii="Garamond" w:eastAsia="TeXGyreAdventor" w:hAnsi="Garamond" w:cs="Arial"/>
          <w:bCs/>
          <w:lang w:val="es-ES" w:eastAsia="en-US"/>
        </w:rPr>
      </w:pPr>
      <w:r w:rsidRPr="00B853B5">
        <w:rPr>
          <w:rFonts w:ascii="Garamond" w:eastAsia="Garamond" w:hAnsi="Garamond" w:cs="Garamond"/>
          <w:lang w:val="es-ES" w:eastAsia="en-US"/>
        </w:rPr>
        <w:t>Detalles estructurales</w:t>
      </w:r>
      <w:r w:rsidRPr="00B853B5">
        <w:rPr>
          <w:rFonts w:ascii="Garamond" w:eastAsia="TeXGyreAdventor" w:hAnsi="Garamond" w:cs="Arial"/>
          <w:bCs/>
          <w:lang w:val="es-ES" w:eastAsia="en-US"/>
        </w:rPr>
        <w:t>:</w:t>
      </w:r>
    </w:p>
    <w:p w14:paraId="5E25BEC2"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Captaciones. </w:t>
      </w:r>
    </w:p>
    <w:p w14:paraId="691409B1"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Tomas superficiales. </w:t>
      </w:r>
    </w:p>
    <w:p w14:paraId="40C4B6C0"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Desarenadores. </w:t>
      </w:r>
    </w:p>
    <w:p w14:paraId="55A3A95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Plantas de tratamiento. </w:t>
      </w:r>
    </w:p>
    <w:p w14:paraId="02A4FE73"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Estaciones de bombeo. </w:t>
      </w:r>
    </w:p>
    <w:p w14:paraId="0EC234F5"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Tanques de almacenamiento y quiebragradientes. </w:t>
      </w:r>
    </w:p>
    <w:p w14:paraId="4B7650CE"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Pasos de tubería (elevados y por bajo de cauces). </w:t>
      </w:r>
    </w:p>
    <w:p w14:paraId="1506C95A"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Bloques de anclaje. </w:t>
      </w:r>
    </w:p>
    <w:p w14:paraId="4067455B"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Cajas de válvulas. </w:t>
      </w:r>
    </w:p>
    <w:p w14:paraId="54DC8EB9" w14:textId="77777777" w:rsidR="00B853B5" w:rsidRPr="00B853B5" w:rsidRDefault="00B853B5" w:rsidP="00B853B5">
      <w:pPr>
        <w:numPr>
          <w:ilvl w:val="0"/>
          <w:numId w:val="31"/>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Oficinas y bodegas. </w:t>
      </w:r>
    </w:p>
    <w:p w14:paraId="2C5C20CE" w14:textId="77777777" w:rsidR="00B853B5" w:rsidRPr="00B853B5" w:rsidRDefault="00B853B5" w:rsidP="00B853B5">
      <w:pPr>
        <w:numPr>
          <w:ilvl w:val="0"/>
          <w:numId w:val="34"/>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Archivos en formato DWG, SHAPE y KML con los planos actualizados del Sistema y de las obras a construir. </w:t>
      </w:r>
    </w:p>
    <w:p w14:paraId="65635141" w14:textId="77777777" w:rsidR="00B853B5" w:rsidRPr="00B853B5" w:rsidRDefault="00B853B5" w:rsidP="00B853B5">
      <w:pPr>
        <w:spacing w:after="0" w:line="240" w:lineRule="auto"/>
        <w:jc w:val="both"/>
        <w:rPr>
          <w:rFonts w:ascii="Garamond" w:eastAsia="Times New Roman" w:hAnsi="Garamond" w:cs="Arial"/>
          <w:b/>
          <w:bCs/>
          <w:lang w:val="es-ES" w:eastAsia="es-ES"/>
        </w:rPr>
      </w:pPr>
    </w:p>
    <w:p w14:paraId="2E312353"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Especificaciones técnicas:</w:t>
      </w:r>
    </w:p>
    <w:p w14:paraId="2E24F288"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Dentro de la información que se debe incluir en el componente de especificaciones técnicas, se detalla lo siguiente: </w:t>
      </w:r>
    </w:p>
    <w:p w14:paraId="5A791AE7" w14:textId="77777777" w:rsidR="00B853B5" w:rsidRPr="00B853B5" w:rsidRDefault="00B853B5" w:rsidP="00B853B5">
      <w:pPr>
        <w:numPr>
          <w:ilvl w:val="0"/>
          <w:numId w:val="3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Descripción de los materiales. </w:t>
      </w:r>
    </w:p>
    <w:p w14:paraId="730A0567" w14:textId="77777777" w:rsidR="00B853B5" w:rsidRPr="00B853B5" w:rsidRDefault="00B853B5" w:rsidP="00B853B5">
      <w:pPr>
        <w:numPr>
          <w:ilvl w:val="0"/>
          <w:numId w:val="3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Cumplir con las normativas técnicas y certificaciones para el uso y colocación de los materiales y equipo propuesto. </w:t>
      </w:r>
    </w:p>
    <w:p w14:paraId="627E396D" w14:textId="77777777" w:rsidR="00B853B5" w:rsidRPr="00B853B5" w:rsidRDefault="00B853B5" w:rsidP="00B853B5">
      <w:pPr>
        <w:numPr>
          <w:ilvl w:val="0"/>
          <w:numId w:val="3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Especificaciones y metodologías de aplicación de materiales según recomendaciones de los fabricantes. </w:t>
      </w:r>
    </w:p>
    <w:p w14:paraId="1F6DF1ED" w14:textId="77777777" w:rsidR="00B853B5" w:rsidRPr="00B853B5" w:rsidRDefault="00B853B5" w:rsidP="00B853B5">
      <w:pPr>
        <w:numPr>
          <w:ilvl w:val="0"/>
          <w:numId w:val="35"/>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Manuales de operación y mantenimiento para sistemas de tratamiento y sistemas electromecánicos. </w:t>
      </w:r>
    </w:p>
    <w:p w14:paraId="57E6D714"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4DD60D21"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Presupuesto:</w:t>
      </w:r>
    </w:p>
    <w:p w14:paraId="27C2964A"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Dentro de la información que se debe incluir en el presupuesto, se detalla lo siguiente: </w:t>
      </w:r>
    </w:p>
    <w:p w14:paraId="6F0C4C8D"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lastRenderedPageBreak/>
        <w:t xml:space="preserve">Costos directos. </w:t>
      </w:r>
    </w:p>
    <w:p w14:paraId="45E1BBDA"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Costos indirectos. </w:t>
      </w:r>
    </w:p>
    <w:p w14:paraId="7FF07322"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Imprevistos. </w:t>
      </w:r>
    </w:p>
    <w:p w14:paraId="467DD07E"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Honorarios. </w:t>
      </w:r>
    </w:p>
    <w:p w14:paraId="63B45666"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Rubros de pago del CFIA (timbre de construcción, derecho de asistencia, cupón de registro y cobro de administración APC). </w:t>
      </w:r>
    </w:p>
    <w:p w14:paraId="18638516"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Permisos de construcción. </w:t>
      </w:r>
    </w:p>
    <w:p w14:paraId="3CF56466"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Pólizas. </w:t>
      </w:r>
    </w:p>
    <w:p w14:paraId="2D197ADE" w14:textId="77777777" w:rsidR="00B853B5" w:rsidRPr="00B853B5" w:rsidRDefault="00B853B5" w:rsidP="00B853B5">
      <w:pPr>
        <w:numPr>
          <w:ilvl w:val="0"/>
          <w:numId w:val="3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Utilidad del Oferente. </w:t>
      </w:r>
    </w:p>
    <w:p w14:paraId="458B5A02" w14:textId="77777777" w:rsidR="00B853B5" w:rsidRPr="00B853B5" w:rsidRDefault="00B853B5" w:rsidP="00B853B5">
      <w:pPr>
        <w:spacing w:after="200" w:line="240" w:lineRule="auto"/>
        <w:ind w:left="2160"/>
        <w:contextualSpacing/>
        <w:jc w:val="both"/>
        <w:rPr>
          <w:rFonts w:ascii="Garamond" w:hAnsi="Garamond" w:cs="Arial"/>
          <w:bCs/>
          <w:lang w:val="es-ES" w:eastAsia="en-US"/>
        </w:rPr>
      </w:pPr>
    </w:p>
    <w:p w14:paraId="0E08E3E2" w14:textId="77777777" w:rsidR="00B853B5" w:rsidRPr="00B853B5" w:rsidRDefault="00B853B5" w:rsidP="00B853B5">
      <w:pPr>
        <w:numPr>
          <w:ilvl w:val="0"/>
          <w:numId w:val="27"/>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Condición legal de calles, servidumbres e inscripción de terrenos </w:t>
      </w:r>
    </w:p>
    <w:p w14:paraId="061B10D3"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Como parte de la información que se debe presentar en el apartado de condición legal de calles, servidumbres e inscripción de terrenos, se detalla lo siguiente: </w:t>
      </w:r>
    </w:p>
    <w:p w14:paraId="57611936"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43110D0D" w14:textId="77777777" w:rsidR="00B853B5" w:rsidRPr="00B853B5" w:rsidRDefault="00B853B5" w:rsidP="00B853B5">
      <w:pPr>
        <w:numPr>
          <w:ilvl w:val="0"/>
          <w:numId w:val="37"/>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En el caso de constitución de servidumbres de paso e instalación de tubería, se deberá presentar plano de agrimensura y certificación literal con menos de 30 días de emitida por el Registro Nacional. </w:t>
      </w:r>
    </w:p>
    <w:p w14:paraId="002E7CCD" w14:textId="77777777" w:rsidR="00B853B5" w:rsidRPr="00B853B5" w:rsidRDefault="00B853B5" w:rsidP="00B853B5">
      <w:pPr>
        <w:numPr>
          <w:ilvl w:val="0"/>
          <w:numId w:val="37"/>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En el caso de terrenos inscritos a nombre de la ASADA, se deberá presentar el plano catastrado y certificación literal con menos de 30 días de emitida por el Registro Nacional, además del certificado de uso del suelo emitido por el ente competente.</w:t>
      </w:r>
    </w:p>
    <w:p w14:paraId="1276661E" w14:textId="77777777" w:rsidR="00B853B5" w:rsidRPr="00B853B5" w:rsidRDefault="00B853B5" w:rsidP="00B853B5">
      <w:pPr>
        <w:numPr>
          <w:ilvl w:val="0"/>
          <w:numId w:val="37"/>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El AyA podrá solicitar constancia municipal cuando exista duda de la existencia de calle pública. </w:t>
      </w:r>
    </w:p>
    <w:p w14:paraId="633855BA" w14:textId="77777777" w:rsidR="00B853B5" w:rsidRPr="00B853B5" w:rsidRDefault="00B853B5" w:rsidP="00B853B5">
      <w:pPr>
        <w:spacing w:after="200" w:line="240" w:lineRule="auto"/>
        <w:ind w:left="1440"/>
        <w:contextualSpacing/>
        <w:jc w:val="both"/>
        <w:rPr>
          <w:rFonts w:ascii="Garamond" w:hAnsi="Garamond" w:cs="Arial"/>
          <w:bCs/>
          <w:lang w:val="es-ES" w:eastAsia="en-US"/>
        </w:rPr>
      </w:pPr>
    </w:p>
    <w:p w14:paraId="033DBE0F"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85" w:name="_Toc158296422"/>
      <w:r w:rsidRPr="00B853B5">
        <w:rPr>
          <w:rFonts w:ascii="Garamond" w:eastAsia="Garamond" w:hAnsi="Garamond" w:cs="Garamond"/>
          <w:b/>
          <w:lang w:val="es-ES" w:eastAsia="en-US"/>
        </w:rPr>
        <w:t>Estudio Hidrogeológico</w:t>
      </w:r>
      <w:bookmarkEnd w:id="85"/>
    </w:p>
    <w:p w14:paraId="72B10A4E" w14:textId="77777777" w:rsidR="00B853B5" w:rsidRPr="00B853B5" w:rsidRDefault="00B853B5" w:rsidP="00B853B5">
      <w:pPr>
        <w:tabs>
          <w:tab w:val="left" w:pos="426"/>
        </w:tabs>
        <w:spacing w:before="120" w:after="0" w:line="240" w:lineRule="auto"/>
        <w:ind w:left="792"/>
        <w:jc w:val="both"/>
        <w:rPr>
          <w:rFonts w:ascii="Garamond" w:eastAsia="Garamond" w:hAnsi="Garamond" w:cs="Garamond"/>
          <w:b/>
          <w:highlight w:val="green"/>
          <w:lang w:val="es-ES" w:eastAsia="en-US"/>
        </w:rPr>
      </w:pPr>
    </w:p>
    <w:p w14:paraId="0CE54FC6"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Estudio Hidrogeológico permitirá definir las áreas especiales de protección de diferentes fuentes aprovechadas por las Asadas y a partir de las cuales se puedan abastecer a futuro sus acueductos. Con este estudio se identifica la ubicación del punto de perforación de un pozo, con base en estudios realizados por el AyA, los cuales vendrán a solucionar los problemas de abastecimiento de comunidades que carecen de acueducto y que podrían eventualmente ser asumidas por las Asadas. Este es el caso puntual de la Asada de Concepción de Pilas que requiere determinar la ubicación de un pozo para el abastecimiento de la zona alta de Concepción.  </w:t>
      </w:r>
    </w:p>
    <w:p w14:paraId="543205AB"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1E104771"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La generación de términos de referencia para la contratación de estudios hidrogeológicos se realiza por solicitud expresa de la Dirección de la UEN Gestión de Acueductos Rurales, dentro del marco de Plan de Fortalecimiento de la Subgerencia de Sistemas Delegados 2020-2022.</w:t>
      </w:r>
    </w:p>
    <w:p w14:paraId="7191771D"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A continuación, se resumen los términos de referencia que serán tomados en cuenta en el Estudio Hidrogeológico para la evaluación por parte del AyA</w:t>
      </w:r>
      <w:r w:rsidRPr="00B853B5">
        <w:rPr>
          <w:rFonts w:ascii="Garamond" w:eastAsia="Garamond" w:hAnsi="Garamond" w:cs="Garamond"/>
          <w:lang w:val="es-ES_tradnl" w:eastAsia="es-ES"/>
        </w:rPr>
        <w:footnoteReference w:id="5"/>
      </w:r>
      <w:r w:rsidRPr="00B853B5">
        <w:rPr>
          <w:rFonts w:ascii="Garamond" w:eastAsia="Garamond" w:hAnsi="Garamond" w:cs="Garamond"/>
          <w:lang w:val="es-ES_tradnl" w:eastAsia="es-ES"/>
        </w:rPr>
        <w:t xml:space="preserve">: </w:t>
      </w:r>
    </w:p>
    <w:p w14:paraId="74939529"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5CCE2906" w14:textId="77777777" w:rsidR="00B853B5" w:rsidRPr="00B853B5" w:rsidRDefault="00B853B5" w:rsidP="00B853B5">
      <w:pPr>
        <w:spacing w:after="0" w:line="240" w:lineRule="auto"/>
        <w:ind w:left="360"/>
        <w:jc w:val="both"/>
        <w:rPr>
          <w:rFonts w:ascii="Garamond" w:eastAsia="Garamond" w:hAnsi="Garamond" w:cs="Garamond"/>
          <w:b/>
          <w:lang w:val="es-ES_tradnl" w:eastAsia="es-ES"/>
        </w:rPr>
      </w:pPr>
      <w:r w:rsidRPr="00B853B5">
        <w:rPr>
          <w:rFonts w:ascii="Garamond" w:eastAsia="Garamond" w:hAnsi="Garamond" w:cs="Garamond"/>
          <w:b/>
          <w:lang w:val="es-ES_tradnl" w:eastAsia="es-ES"/>
        </w:rPr>
        <w:t>Términos de referencia para la elaboración de un Estudio Hidrogeológico de ubicación del sitio de perforación de un pozo para abastecimiento humano:</w:t>
      </w:r>
    </w:p>
    <w:p w14:paraId="6C08B101" w14:textId="77777777" w:rsidR="00B853B5" w:rsidRPr="00B853B5" w:rsidRDefault="00B853B5" w:rsidP="00B853B5">
      <w:pPr>
        <w:spacing w:after="0" w:line="240" w:lineRule="auto"/>
        <w:ind w:left="360"/>
        <w:jc w:val="both"/>
        <w:rPr>
          <w:rFonts w:ascii="Garamond" w:eastAsia="Garamond" w:hAnsi="Garamond" w:cs="Garamond"/>
          <w:b/>
          <w:lang w:val="es-ES_tradnl" w:eastAsia="es-ES"/>
        </w:rPr>
      </w:pPr>
    </w:p>
    <w:p w14:paraId="247B6DCC"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Portada:</w:t>
      </w:r>
    </w:p>
    <w:p w14:paraId="2E2FFD75"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Conteniendo: empresa responsable, título del estudio- indicando ubicación (sitio, distrito, cantón, provincia), mes-año, y firma del(os) profesional(es) responsable(s). </w:t>
      </w:r>
    </w:p>
    <w:p w14:paraId="021B3CE3"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69FB7999"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lastRenderedPageBreak/>
        <w:t>Introducción:</w:t>
      </w:r>
    </w:p>
    <w:p w14:paraId="6F74D812"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Objetivos generales y específicos del estudio. Antecedentes. Mapa de ubicación de la zona o sitio de interés para efectos del estudio. Metodología de trabajo. </w:t>
      </w:r>
    </w:p>
    <w:p w14:paraId="7092142F"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2F1D53C6"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Valorar los lotes (de 1 a 3 alternativas por la ASADA si hay) y las alternativas (sin límite) consideradas por el criterio del profesional responsable contratado, quien recomendará el sitio a perforar según las condiciones geológicas, hidrogeológicas y geofísicas. </w:t>
      </w:r>
    </w:p>
    <w:p w14:paraId="1323A0C9" w14:textId="77777777" w:rsidR="00B853B5" w:rsidRPr="00B853B5" w:rsidRDefault="00B853B5" w:rsidP="00B853B5">
      <w:pPr>
        <w:spacing w:after="200" w:line="240" w:lineRule="auto"/>
        <w:ind w:left="720"/>
        <w:contextualSpacing/>
        <w:jc w:val="both"/>
        <w:rPr>
          <w:rFonts w:ascii="Garamond" w:hAnsi="Garamond" w:cs="Arial"/>
          <w:bCs/>
          <w:lang w:val="es-ES" w:eastAsia="en-US"/>
        </w:rPr>
      </w:pPr>
    </w:p>
    <w:p w14:paraId="58DBE7EE"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Contexto Geológico del Área de Estudio: </w:t>
      </w:r>
    </w:p>
    <w:p w14:paraId="075D760C"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Descripción de las formaciones geológicas que se encuentran aflorando en el área de interés. </w:t>
      </w:r>
    </w:p>
    <w:p w14:paraId="27866302"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6991037D" w14:textId="77777777" w:rsidR="00B853B5" w:rsidRPr="00B853B5" w:rsidRDefault="00B853B5">
      <w:pPr>
        <w:numPr>
          <w:ilvl w:val="0"/>
          <w:numId w:val="47"/>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Contexto Geológico Regional y Geología Estructural Regional:</w:t>
      </w:r>
      <w:r w:rsidRPr="00B853B5">
        <w:rPr>
          <w:rFonts w:ascii="Garamond" w:eastAsia="Garamond" w:hAnsi="Garamond" w:cs="Garamond"/>
          <w:lang w:val="es-ES" w:eastAsia="en-US"/>
        </w:rPr>
        <w:t xml:space="preserve"> Mapa geológico Regional. Debe contemplar los aspectos de geología regional (incluidos los elementos estructurales), además de aspectos de referencia mínimos, como carreteras, curvas de nivel y capa de ríos, entre otros. </w:t>
      </w:r>
    </w:p>
    <w:p w14:paraId="7B3FC25A" w14:textId="77777777" w:rsidR="00B853B5" w:rsidRPr="00B853B5" w:rsidRDefault="00B853B5">
      <w:pPr>
        <w:numPr>
          <w:ilvl w:val="0"/>
          <w:numId w:val="47"/>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Contexto Geológico Local y Geología Estructural Local</w:t>
      </w:r>
      <w:r w:rsidRPr="00B853B5">
        <w:rPr>
          <w:rFonts w:ascii="Garamond" w:eastAsia="Garamond" w:hAnsi="Garamond" w:cs="Garamond"/>
          <w:lang w:val="es-ES" w:eastAsia="en-US"/>
        </w:rPr>
        <w:t xml:space="preserve">: Mapa geológico Local. Cartografía geológica básica del terreno, escala 1:25000. Geología de campo en un área de 2 km de radio a partir del sitio evaluado. Con las formaciones geológicas existentes en la zona de estudio (donde se deberán asociar o correlacionar las unidades litológicas observadas en el campo), las estructuras geológicas, así como su zona de amortiguamiento. Se deben incluir fotografías de las unidades o estructuras geológicas descritas (con coordenadas de sitio), para justificar los resultados presentados. </w:t>
      </w:r>
    </w:p>
    <w:p w14:paraId="580FDEC5" w14:textId="77777777" w:rsidR="00B853B5" w:rsidRPr="00B853B5" w:rsidRDefault="00B853B5" w:rsidP="00B853B5">
      <w:pPr>
        <w:adjustRightInd w:val="0"/>
        <w:spacing w:after="200" w:line="240" w:lineRule="auto"/>
        <w:ind w:left="1440"/>
        <w:contextualSpacing/>
        <w:jc w:val="both"/>
        <w:rPr>
          <w:rFonts w:ascii="Garamond" w:hAnsi="Garamond" w:cs="Arial"/>
          <w:color w:val="000000"/>
          <w:lang w:val="es-ES" w:eastAsia="en-US"/>
        </w:rPr>
      </w:pPr>
    </w:p>
    <w:p w14:paraId="73E210F1"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Prospección Geofísica:</w:t>
      </w:r>
    </w:p>
    <w:p w14:paraId="42B0E489"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Elaborar dos sondeos eléctricos verticales (SEV) para la alternativa más viable que incluya su análisis, interpretación y modelado.</w:t>
      </w:r>
    </w:p>
    <w:p w14:paraId="173C46B2" w14:textId="77777777" w:rsidR="00B853B5" w:rsidRPr="00B853B5" w:rsidRDefault="00B853B5" w:rsidP="00B853B5">
      <w:pPr>
        <w:spacing w:after="200" w:line="240" w:lineRule="auto"/>
        <w:ind w:left="720"/>
        <w:contextualSpacing/>
        <w:jc w:val="both"/>
        <w:rPr>
          <w:rFonts w:ascii="Garamond" w:hAnsi="Garamond" w:cs="Arial"/>
          <w:bCs/>
          <w:lang w:val="es-ES" w:eastAsia="en-US"/>
        </w:rPr>
      </w:pPr>
      <w:r w:rsidRPr="00B853B5">
        <w:rPr>
          <w:rFonts w:ascii="Garamond" w:hAnsi="Garamond" w:cs="Arial"/>
          <w:bCs/>
          <w:lang w:val="es-ES" w:eastAsia="en-US"/>
        </w:rPr>
        <w:t xml:space="preserve"> </w:t>
      </w:r>
    </w:p>
    <w:p w14:paraId="7E70D5DB"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Hidrogeología Local:</w:t>
      </w:r>
    </w:p>
    <w:p w14:paraId="49C91F6E"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Levantamiento, análisis e interpretación de fuentes cercanas al área de estudio, en un radio de 2 km realizando consulta a las bases de datos de instituciones públicas: AyA, SENARA, MINAE - Dirección de Aguas. </w:t>
      </w:r>
    </w:p>
    <w:p w14:paraId="43C795F4"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p>
    <w:p w14:paraId="5AD0870F" w14:textId="77777777" w:rsidR="00B853B5" w:rsidRPr="00B853B5" w:rsidRDefault="00B853B5">
      <w:pPr>
        <w:numPr>
          <w:ilvl w:val="0"/>
          <w:numId w:val="4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Cuadro con información de pozos y copia de reportes de perforación de pozos: </w:t>
      </w:r>
      <w:r w:rsidRPr="00B853B5">
        <w:rPr>
          <w:rFonts w:ascii="Garamond" w:eastAsia="Garamond" w:hAnsi="Garamond" w:cs="Garamond"/>
          <w:lang w:val="es-ES" w:eastAsia="en-US"/>
        </w:rPr>
        <w:t>El cuadro debe contener de manera explícita: número de pozo / nombre, el tipo (si es excavado o perforado), coordenadas, propietario, uso, profundidad de la perforación, nivel estático, nivel dinámico, caudal concesionado, registro de litología por tramos, armado del pozo (ubicación de rejillas), parámetros hidráulicos a partir de pruebas de bombeo (transmisividad T, y/o coeficiente de almacenamiento S, indicando el tiempo de bombeo de la prueba), datos de calidad del agua (indicando si cumple o no la norma del Reglamento de calidad) y la distancia a la que se encuentran del sitio en estudio. De no contar con algunos de estos aspectos, debe indicarse explícitamente por escrito. Al menos se deberán considerar 10 pozos alrededor del sitio en estudio, extendiendo si fuera necesario el radio de búsqueda.</w:t>
      </w:r>
      <w:r w:rsidRPr="00B853B5">
        <w:rPr>
          <w:rFonts w:ascii="Garamond" w:eastAsia="Garamond" w:hAnsi="Garamond" w:cs="Garamond"/>
          <w:b/>
          <w:lang w:val="es-ES" w:eastAsia="en-US"/>
        </w:rPr>
        <w:t xml:space="preserve"> </w:t>
      </w:r>
    </w:p>
    <w:p w14:paraId="0CDA26FD" w14:textId="77777777" w:rsidR="00B853B5" w:rsidRPr="00B853B5" w:rsidRDefault="00B853B5" w:rsidP="00B853B5">
      <w:pPr>
        <w:widowControl w:val="0"/>
        <w:autoSpaceDE w:val="0"/>
        <w:autoSpaceDN w:val="0"/>
        <w:spacing w:after="200" w:line="240" w:lineRule="auto"/>
        <w:ind w:left="1440"/>
        <w:contextualSpacing/>
        <w:jc w:val="both"/>
        <w:rPr>
          <w:rFonts w:ascii="Garamond" w:hAnsi="Garamond" w:cs="Arial"/>
          <w:bCs/>
          <w:lang w:val="es-ES" w:eastAsia="en-US"/>
        </w:rPr>
      </w:pPr>
    </w:p>
    <w:p w14:paraId="281677E7" w14:textId="77777777" w:rsidR="00B853B5" w:rsidRPr="00B853B5" w:rsidRDefault="00B853B5">
      <w:pPr>
        <w:numPr>
          <w:ilvl w:val="0"/>
          <w:numId w:val="48"/>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t>Cuadro de otras fuentes cercanas (nacientes y captaciones de aguas superficiales):</w:t>
      </w:r>
      <w:r w:rsidRPr="00B853B5">
        <w:rPr>
          <w:rFonts w:ascii="Garamond" w:eastAsia="Garamond" w:hAnsi="Garamond" w:cs="Garamond"/>
          <w:lang w:val="es-ES" w:eastAsia="en-US"/>
        </w:rPr>
        <w:t xml:space="preserve"> El cuadro debe contener de manera explícita: número de identificación, coordenadas, propietario, caudal aprovechado, datos de calidad del agua, (indicar si cumplen o no con el Reglamento), así como la distancia a la que se encuentran del sitio en estudio. De no contar con algunos de estos aspectos, debe indicarse explícitamente por escrito. También se recomienda, incluir un cuadro con los aforos de las quebradas en la zona y con la dirección del flujo de agua subterránea. </w:t>
      </w:r>
    </w:p>
    <w:p w14:paraId="0102910B" w14:textId="77777777" w:rsidR="00B853B5" w:rsidRPr="00B853B5" w:rsidRDefault="00B853B5" w:rsidP="00B853B5">
      <w:pPr>
        <w:spacing w:after="200" w:line="240" w:lineRule="auto"/>
        <w:ind w:left="720"/>
        <w:contextualSpacing/>
        <w:rPr>
          <w:rFonts w:ascii="Garamond" w:eastAsia="Garamond" w:hAnsi="Garamond" w:cs="Garamond"/>
          <w:lang w:val="es-ES" w:eastAsia="en-US"/>
        </w:rPr>
      </w:pPr>
    </w:p>
    <w:p w14:paraId="5A830858" w14:textId="77777777" w:rsidR="00B853B5" w:rsidRPr="00B853B5" w:rsidRDefault="00B853B5">
      <w:pPr>
        <w:numPr>
          <w:ilvl w:val="0"/>
          <w:numId w:val="48"/>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b/>
          <w:lang w:val="es-ES" w:eastAsia="en-US"/>
        </w:rPr>
        <w:lastRenderedPageBreak/>
        <w:t>Mapa Hidrogeológico Local:</w:t>
      </w:r>
      <w:r w:rsidRPr="00B853B5">
        <w:rPr>
          <w:rFonts w:ascii="Garamond" w:eastAsia="Garamond" w:hAnsi="Garamond" w:cs="Garamond"/>
          <w:lang w:val="es-ES" w:eastAsia="en-US"/>
        </w:rPr>
        <w:t xml:space="preserve"> Conteniendo como mínimo: ubicación del área o sitio de interés, unidades hidrogeológicas, ubicación de fuentes (pozos, nacientes, captaciones), indicando su numeración de identificación (misma que en cuadros anteriores), curvas equipotenciales o isofreáticas del o los acuíferos de interés, indicando su valor respectivo sobre el trazo de las curvas utilizadas, líneas de flujo respectivas (por acuífero), las curvas de nivel, los ríos y de fondo las unidades hidrogeológicas definidas, de acuerdo con el modelo de geología–hidrogeología local de la zona de estudio, ubicación de las líneas de perfiles hidrogeológicos (pueden ser rectilíneas o preferiblemente quebradas–de punto a punto), grilla de coordenadas, indicación de las respectivas escalas, simbología, leyenda, norte, título y referencia de la base cartográfica utilizada (utilizar como mapa base de fondo, la hoja topográfica del IGNCR, correspondiente a la zona de estudio. Escala 1:50000). </w:t>
      </w:r>
    </w:p>
    <w:p w14:paraId="6FE3FE65" w14:textId="77777777" w:rsidR="00B853B5" w:rsidRPr="00B853B5" w:rsidRDefault="00B853B5" w:rsidP="00B853B5">
      <w:pPr>
        <w:spacing w:after="0" w:line="240" w:lineRule="auto"/>
        <w:ind w:left="1428"/>
        <w:jc w:val="both"/>
        <w:rPr>
          <w:rFonts w:ascii="Garamond" w:eastAsia="Garamond" w:hAnsi="Garamond" w:cs="Garamond"/>
          <w:i/>
          <w:lang w:val="es-ES_tradnl" w:eastAsia="es-ES"/>
        </w:rPr>
      </w:pPr>
      <w:r w:rsidRPr="00B853B5">
        <w:rPr>
          <w:rFonts w:ascii="Garamond" w:eastAsia="Garamond" w:hAnsi="Garamond" w:cs="Garamond"/>
          <w:i/>
          <w:lang w:val="es-ES_tradnl" w:eastAsia="es-ES"/>
        </w:rPr>
        <w:t xml:space="preserve">Nota: Puede incluirse aquí, dentro del área cartografiable, la representación de los puntos elegidos o alternativas para la perforación. Esto si la escala de detalle del mapa lo permite y si no hay una sobrecarga de elementos en el mapa. De lo contrario, pueden realizarse por separado, mapas de detalle de estos, en compañía de otros aspectos como la red de flujo subterráneo y pozos cercanos. </w:t>
      </w:r>
    </w:p>
    <w:p w14:paraId="18A3599C" w14:textId="77777777" w:rsidR="00B853B5" w:rsidRPr="00B853B5" w:rsidRDefault="00B853B5" w:rsidP="00B853B5">
      <w:pPr>
        <w:spacing w:after="0" w:line="240" w:lineRule="auto"/>
        <w:ind w:left="1428"/>
        <w:jc w:val="both"/>
        <w:rPr>
          <w:rFonts w:ascii="Garamond" w:eastAsia="Garamond" w:hAnsi="Garamond" w:cs="Garamond"/>
          <w:i/>
          <w:lang w:val="es-ES_tradnl" w:eastAsia="es-ES"/>
        </w:rPr>
      </w:pPr>
    </w:p>
    <w:p w14:paraId="4DB18552" w14:textId="77777777" w:rsidR="00B853B5" w:rsidRPr="00B853B5" w:rsidRDefault="00B853B5">
      <w:pPr>
        <w:numPr>
          <w:ilvl w:val="0"/>
          <w:numId w:val="4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Dos perfiles hidrogeológicos: </w:t>
      </w:r>
      <w:r w:rsidRPr="00B853B5">
        <w:rPr>
          <w:rFonts w:ascii="Garamond" w:eastAsia="Garamond" w:hAnsi="Garamond" w:cs="Garamond"/>
          <w:lang w:val="es-ES" w:eastAsia="en-US"/>
        </w:rPr>
        <w:t>Uno de los cuales debe contener la propuesta y la geofísica. Conteniendo como mínimo: perfil topográfico de superficie, ubicación del área o sitio de interés sobre la línea de perfil, proyección de la unidades hidrogeológicas de superficie y modelación de las que se ubiquen a profundidad, representación de los niveles de agua subterránea presentes a profundidad, definir espesores de las formaciones - unidades así como todo aspecto estructural, de acuerdo con los cortes encontrados en el campo indicación de las respectivas escalas, simbología, leyenda, orientación de la línea o tramos de línea del perfil (en concordancia con su orientación en el mapa hidrogeológico), y título.</w:t>
      </w:r>
      <w:r w:rsidRPr="00B853B5">
        <w:rPr>
          <w:rFonts w:ascii="Garamond" w:eastAsia="Garamond" w:hAnsi="Garamond" w:cs="Garamond"/>
          <w:b/>
          <w:lang w:val="es-ES" w:eastAsia="en-US"/>
        </w:rPr>
        <w:t xml:space="preserve"> </w:t>
      </w:r>
    </w:p>
    <w:p w14:paraId="2E5477DA" w14:textId="77777777" w:rsidR="00B853B5" w:rsidRPr="00B853B5" w:rsidRDefault="00B853B5" w:rsidP="00B853B5">
      <w:pPr>
        <w:spacing w:after="200" w:line="240" w:lineRule="auto"/>
        <w:ind w:left="1428"/>
        <w:contextualSpacing/>
        <w:jc w:val="both"/>
        <w:rPr>
          <w:rFonts w:ascii="Garamond" w:eastAsia="Garamond" w:hAnsi="Garamond" w:cs="Garamond"/>
          <w:b/>
          <w:lang w:val="es-ES" w:eastAsia="en-US"/>
        </w:rPr>
      </w:pPr>
    </w:p>
    <w:p w14:paraId="7986B099" w14:textId="77777777" w:rsidR="00B853B5" w:rsidRPr="00B853B5" w:rsidRDefault="00B853B5">
      <w:pPr>
        <w:numPr>
          <w:ilvl w:val="0"/>
          <w:numId w:val="48"/>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Contexto hidrogeológico del área de estudio: </w:t>
      </w:r>
      <w:r w:rsidRPr="00B853B5">
        <w:rPr>
          <w:rFonts w:ascii="Garamond" w:eastAsia="Garamond" w:hAnsi="Garamond" w:cs="Garamond"/>
          <w:lang w:val="es-ES" w:eastAsia="en-US"/>
        </w:rPr>
        <w:t xml:space="preserve">Descripción del modelo hidrogeológico conceptual, los parámetros hidráulicos del acuífero (tipo de acuífero, transmisividad T, gradiente, dirección de flujo, niveles de agua subterránea) y la vulnerabilidad del acuífero. </w:t>
      </w:r>
    </w:p>
    <w:p w14:paraId="3F31C595" w14:textId="77777777" w:rsidR="00B853B5" w:rsidRPr="00B853B5" w:rsidRDefault="00B853B5" w:rsidP="00B853B5">
      <w:pPr>
        <w:adjustRightInd w:val="0"/>
        <w:spacing w:after="200" w:line="240" w:lineRule="auto"/>
        <w:ind w:left="1440"/>
        <w:contextualSpacing/>
        <w:jc w:val="both"/>
        <w:rPr>
          <w:rFonts w:ascii="Garamond" w:hAnsi="Garamond" w:cs="Arial"/>
          <w:color w:val="000000"/>
          <w:lang w:val="es-ES" w:eastAsia="en-US"/>
        </w:rPr>
      </w:pPr>
    </w:p>
    <w:p w14:paraId="7375C376" w14:textId="77777777" w:rsidR="00B853B5" w:rsidRPr="00B853B5" w:rsidRDefault="00B853B5">
      <w:pPr>
        <w:numPr>
          <w:ilvl w:val="0"/>
          <w:numId w:val="46"/>
        </w:numPr>
        <w:spacing w:after="0" w:line="240" w:lineRule="auto"/>
        <w:contextualSpacing/>
        <w:jc w:val="both"/>
        <w:rPr>
          <w:rFonts w:ascii="Garamond" w:eastAsia="Garamond" w:hAnsi="Garamond" w:cs="Garamond"/>
          <w:b/>
          <w:lang w:val="es-ES" w:eastAsia="en-US"/>
        </w:rPr>
      </w:pPr>
      <w:r w:rsidRPr="00B853B5">
        <w:rPr>
          <w:rFonts w:ascii="Garamond" w:eastAsia="Garamond" w:hAnsi="Garamond" w:cs="Garamond"/>
          <w:b/>
          <w:lang w:val="es-ES" w:eastAsia="en-US"/>
        </w:rPr>
        <w:t xml:space="preserve">Análisis de calidad de aguas: </w:t>
      </w:r>
    </w:p>
    <w:p w14:paraId="07D87A03" w14:textId="77777777" w:rsidR="00B853B5" w:rsidRPr="00B853B5" w:rsidRDefault="00B853B5" w:rsidP="00B853B5">
      <w:pPr>
        <w:spacing w:after="0" w:line="240" w:lineRule="auto"/>
        <w:ind w:left="708"/>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Debe incluir análisis físico–químico y bacteriológico de pozos de la calidad de aguas de las fuentes cercanos para poder valorar la calidad de las aguas de la zona a investigar y/o explotar. En caso de ser necesarios, se deben incluir análisis de pesticidas y agroquímicos. Lo anterior es función de la actividad cercana al sitio elegido. En este punto se podrán utilizar los análisis de calidad de agua disponibles de las fuentes de Asadas cercanas. </w:t>
      </w:r>
    </w:p>
    <w:p w14:paraId="16CD672F" w14:textId="77777777" w:rsidR="00B853B5" w:rsidRPr="00B853B5" w:rsidRDefault="00B853B5" w:rsidP="00B853B5">
      <w:pPr>
        <w:spacing w:after="200" w:line="240" w:lineRule="auto"/>
        <w:ind w:left="1080"/>
        <w:contextualSpacing/>
        <w:jc w:val="both"/>
        <w:rPr>
          <w:rFonts w:ascii="Garamond" w:eastAsia="Garamond" w:hAnsi="Garamond" w:cs="Garamond"/>
          <w:b/>
          <w:lang w:val="es-ES" w:eastAsia="en-US"/>
        </w:rPr>
      </w:pPr>
    </w:p>
    <w:p w14:paraId="60FC4259"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Realizar los términos de referencia para la perforación del sitio elegido, donde se indique las características del pozo propuesto: diámetro de perforación, diámetro de armado, posible armado, profundidad de la perforación y las recomendaciones a ejecutar, además de tiempo de Prueba de Bombeo (prueba de bombeo escalonada en 4 etapas, prueba de 72 horas a caudal constante, prueba de recuperación), análisis físico – químicos y bacteriológico al finalizar la prueba de bombeo, y otros que el profesional responsable de la contratación considere pertinentes. Presupuesto estimado en una tabla de los puntos anteriores. </w:t>
      </w:r>
    </w:p>
    <w:p w14:paraId="488A4D16"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7CBC2F63"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Conclusiones. </w:t>
      </w:r>
    </w:p>
    <w:p w14:paraId="5A72E678" w14:textId="77777777" w:rsidR="00B853B5" w:rsidRPr="00B853B5" w:rsidRDefault="00B853B5" w:rsidP="00B853B5">
      <w:pPr>
        <w:spacing w:after="200" w:line="240" w:lineRule="auto"/>
        <w:ind w:left="720"/>
        <w:contextualSpacing/>
        <w:jc w:val="both"/>
        <w:rPr>
          <w:rFonts w:ascii="Garamond" w:hAnsi="Garamond" w:cs="Arial"/>
          <w:bCs/>
          <w:lang w:val="es-ES" w:eastAsia="en-US"/>
        </w:rPr>
      </w:pPr>
    </w:p>
    <w:p w14:paraId="05006D07"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Recomendaciones. </w:t>
      </w:r>
    </w:p>
    <w:p w14:paraId="7C635A70"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0A918409"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Referencias Bibliográficas. </w:t>
      </w:r>
    </w:p>
    <w:p w14:paraId="0B82FECD"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3B75B46C"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Anexos o documentación adjunta al estudio. (Copia de los registros de perforación aportados por las Instituciones consultadas, Análisis de calidad de aguas, Datos de pruebas de bombeo, Planos catastro; cuando estén disponibles). </w:t>
      </w:r>
    </w:p>
    <w:p w14:paraId="2D9764AF" w14:textId="77777777" w:rsidR="00B853B5" w:rsidRPr="00B853B5" w:rsidRDefault="00B853B5" w:rsidP="00B853B5">
      <w:pPr>
        <w:spacing w:after="200" w:line="240" w:lineRule="auto"/>
        <w:ind w:left="720"/>
        <w:contextualSpacing/>
        <w:jc w:val="both"/>
        <w:rPr>
          <w:rFonts w:ascii="Garamond" w:hAnsi="Garamond" w:cs="Arial"/>
          <w:bCs/>
          <w:lang w:val="es-ES" w:eastAsia="en-US"/>
        </w:rPr>
      </w:pPr>
    </w:p>
    <w:p w14:paraId="23FE5210"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Los mapas deberán incluir los siguientes aspectos: Título, coordenadas CRTM05, escala gráfica, simbología–leyenda y referencias. Todos los mapas y figuras deberán ser entregados en archivos shape y Map Package para su uso en ArcGIS. </w:t>
      </w:r>
    </w:p>
    <w:p w14:paraId="6E9EE409" w14:textId="77777777" w:rsidR="00B853B5" w:rsidRPr="00B853B5" w:rsidRDefault="00B853B5" w:rsidP="00B853B5">
      <w:pPr>
        <w:spacing w:after="200" w:line="240" w:lineRule="auto"/>
        <w:ind w:left="1080"/>
        <w:contextualSpacing/>
        <w:jc w:val="both"/>
        <w:rPr>
          <w:rFonts w:ascii="Garamond" w:eastAsia="Garamond" w:hAnsi="Garamond" w:cs="Garamond"/>
          <w:lang w:val="es-ES" w:eastAsia="en-US"/>
        </w:rPr>
      </w:pPr>
    </w:p>
    <w:p w14:paraId="609F1E42" w14:textId="77777777" w:rsidR="00B853B5" w:rsidRPr="00B853B5" w:rsidRDefault="00B853B5">
      <w:pPr>
        <w:numPr>
          <w:ilvl w:val="0"/>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Perfil del profesional responsable del estudio: </w:t>
      </w:r>
    </w:p>
    <w:p w14:paraId="5358C6E2" w14:textId="77777777" w:rsidR="00B853B5" w:rsidRPr="00B853B5" w:rsidRDefault="00B853B5" w:rsidP="00B853B5">
      <w:pPr>
        <w:spacing w:after="200" w:line="276" w:lineRule="auto"/>
        <w:ind w:left="720"/>
        <w:contextualSpacing/>
        <w:rPr>
          <w:rFonts w:ascii="Garamond" w:eastAsia="Garamond" w:hAnsi="Garamond" w:cs="Garamond"/>
          <w:lang w:val="es-ES" w:eastAsia="en-US"/>
        </w:rPr>
      </w:pPr>
    </w:p>
    <w:p w14:paraId="0FD29E14" w14:textId="77777777" w:rsidR="00B853B5" w:rsidRPr="00B853B5" w:rsidRDefault="00B853B5">
      <w:pPr>
        <w:numPr>
          <w:ilvl w:val="1"/>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Ser Geólogo (con conocimientos en Hidrogeología) o profesional afín (con maestría en Hidrogeología) y debidamente colegiado al Colegio respectivo. Para comprobar lo anterior, debe presentar una certificación original del Colegio que lo acredite y certifique que se encuentra al día. </w:t>
      </w:r>
    </w:p>
    <w:p w14:paraId="1E070DCE" w14:textId="77777777" w:rsidR="00B853B5" w:rsidRPr="00B853B5" w:rsidRDefault="00B853B5">
      <w:pPr>
        <w:numPr>
          <w:ilvl w:val="1"/>
          <w:numId w:val="46"/>
        </w:numPr>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Contar con cinco años de experiencia en estudios Hidrogeológicos enfocados a la ubicación de sitios de perforación (mínimo de 50 m de profundidad). Deberá presentar 5 cartas de experiencia de servicios brindados en empresas o instituciones públicas (2015 – 2020). El profesional contratado deberá redactar un documento en donde acepta la responsabilidad profesional por la información técnico–científica que aporta en el mismo y los respectivos anexos, así como por las conclusiones y recomendaciones obtenidas en los análisis de la información. (Declaración jurada de los estudios hidrogeológicos entregados). </w:t>
      </w:r>
    </w:p>
    <w:p w14:paraId="0FA95595" w14:textId="77777777" w:rsidR="00B853B5" w:rsidRPr="00B853B5" w:rsidRDefault="00B853B5" w:rsidP="00B853B5">
      <w:pPr>
        <w:spacing w:after="0" w:line="240" w:lineRule="auto"/>
        <w:jc w:val="both"/>
        <w:rPr>
          <w:rFonts w:ascii="Garamond" w:eastAsia="Garamond" w:hAnsi="Garamond" w:cs="Garamond"/>
          <w:b/>
          <w:lang w:val="es-ES_tradnl" w:eastAsia="es-ES"/>
        </w:rPr>
      </w:pPr>
      <w:r w:rsidRPr="00B853B5">
        <w:rPr>
          <w:rFonts w:ascii="Garamond" w:eastAsia="Garamond" w:hAnsi="Garamond" w:cs="Garamond"/>
          <w:b/>
          <w:lang w:val="es-ES_tradnl" w:eastAsia="es-ES"/>
        </w:rPr>
        <w:t>Términos de referencia para la elaboración de un Estudio Hidrogeológico para la definición del área especial de protección de pozos y nacientes para abastecimiento poblacional:</w:t>
      </w:r>
    </w:p>
    <w:p w14:paraId="6E44DC04" w14:textId="77777777" w:rsidR="00B853B5" w:rsidRPr="00B853B5" w:rsidRDefault="00B853B5" w:rsidP="00B853B5">
      <w:pPr>
        <w:spacing w:after="0" w:line="240" w:lineRule="auto"/>
        <w:jc w:val="both"/>
        <w:rPr>
          <w:rFonts w:ascii="Garamond" w:eastAsia="Garamond" w:hAnsi="Garamond" w:cs="Garamond"/>
          <w:b/>
          <w:lang w:val="es-ES_tradnl" w:eastAsia="es-ES"/>
        </w:rPr>
      </w:pPr>
    </w:p>
    <w:p w14:paraId="62B969B5" w14:textId="77777777" w:rsidR="00B853B5" w:rsidRPr="00B853B5" w:rsidRDefault="00B853B5" w:rsidP="00B853B5">
      <w:pPr>
        <w:widowControl w:val="0"/>
        <w:numPr>
          <w:ilvl w:val="0"/>
          <w:numId w:val="16"/>
        </w:numPr>
        <w:autoSpaceDE w:val="0"/>
        <w:autoSpaceDN w:val="0"/>
        <w:spacing w:after="0" w:line="240" w:lineRule="auto"/>
        <w:jc w:val="both"/>
        <w:rPr>
          <w:rFonts w:ascii="Garamond" w:hAnsi="Garamond" w:cs="Arial"/>
          <w:bCs/>
          <w:lang w:val="es-ES" w:eastAsia="en-US"/>
        </w:rPr>
      </w:pPr>
      <w:r w:rsidRPr="00B853B5">
        <w:rPr>
          <w:rFonts w:ascii="Garamond" w:eastAsia="Garamond" w:hAnsi="Garamond" w:cs="Garamond"/>
          <w:b/>
          <w:lang w:val="es-ES" w:eastAsia="en-US"/>
        </w:rPr>
        <w:t>Mapa de ubicación de la zona de estudio.</w:t>
      </w:r>
      <w:r w:rsidRPr="00B853B5">
        <w:rPr>
          <w:rFonts w:ascii="Garamond" w:eastAsia="Garamond" w:hAnsi="Garamond" w:cs="Garamond"/>
          <w:lang w:val="es-ES" w:eastAsia="en-US"/>
        </w:rPr>
        <w:t xml:space="preserve"> Escala1:50000.</w:t>
      </w:r>
    </w:p>
    <w:p w14:paraId="7E192017" w14:textId="77777777" w:rsidR="00B853B5" w:rsidRPr="00B853B5" w:rsidRDefault="00B853B5" w:rsidP="00B853B5">
      <w:pPr>
        <w:spacing w:after="200" w:line="240" w:lineRule="auto"/>
        <w:ind w:left="720"/>
        <w:contextualSpacing/>
        <w:jc w:val="both"/>
        <w:rPr>
          <w:rFonts w:ascii="Garamond" w:hAnsi="Garamond" w:cs="Arial"/>
          <w:bCs/>
          <w:lang w:val="es-ES" w:eastAsia="en-US"/>
        </w:rPr>
      </w:pPr>
    </w:p>
    <w:p w14:paraId="24F0FC4E"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 xml:space="preserve">Información de pozos y nacientes: </w:t>
      </w:r>
    </w:p>
    <w:p w14:paraId="4C0C102E"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5D5985F"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un radio de 2 km, alrededor del punto de interés. Incluir en una tabla la información de pozos y en otra la de nacientes. Para la de nacientes, se debe indicar las coordenadas, caudal y si cuentan con datos de calidad (indicar si cumplen o no con el Reglamento para la Calidad del Agua Potable), así como la distancia a la que se encuentran del aprovechamiento (pozo o naciente) de interés en estudio. En el caso de pozos deberá incluir en la tabla: Nombre, coordenadas, litología, uso, armado, profundidad del pozo, NE (nivel Estático), ND (nivel dinámico), caudal y cualquier otra información que se encuentre en los registros de los pozos (pruebas de bombeo -indicando datos de transmisividad del acuífero; muestreos de calidad del agua- indicando si cumple o no la norma del Reglamento para la Calidad del Agua Potable, etc.); así como la distancia a la que se encuentran del aprovechamiento (pozo o naciente) de interés en estudio. Al menos se deberán considerar 10 pozos alrededor del aprovechamiento (pozo o naciente) en estudio, que cuenten con toda la información, misma que se deberá anexar para cada zona de protección (copias completas de los registros de perforación), de no haber pozos en un radio de 3 km a la redonda, extender la búsqueda a 5 km, e incorporarlos haciendo la aclaración de que no había más pozos cercanos al aprovechamiento (pozo o naciente) en estudio, de acuerdo con lo corroborado. Mapa de ubicación de estos pozos y nacientes, con respecto al aprovechamiento (pozo o naciente) de interés en estudio (donde se etiqueten las mismas con simbología y nomenclatura dentro del área del mapa, se debe utilizar como mapa base de fondo, la hoja topográfica del IGNCR, correspondiente a la zona de estudio en escala 1:50000). </w:t>
      </w:r>
    </w:p>
    <w:p w14:paraId="6E4317F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1EFAC243"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 xml:space="preserve">Geología regional, mapa: </w:t>
      </w:r>
    </w:p>
    <w:p w14:paraId="14FB36EB"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0476A02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lastRenderedPageBreak/>
        <w:t xml:space="preserve">Este punto es a partir de información existente. Escala del mapa a presentar 1:50000, debe contemplar los aspectos de geología regional (incluidos los elementos estructurales), además de aspectos de referencia mínimos, como carreteras, curvas de nivel y capa de ríos, entre otros. </w:t>
      </w:r>
    </w:p>
    <w:p w14:paraId="55EAB64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285FD840"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Geología de campo:</w:t>
      </w:r>
    </w:p>
    <w:p w14:paraId="7FF7DEE5"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632EFA9D"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un área de 2 km de radio, a escala 1: 25000 alrededor del aprovechamiento (pozo o naciente) en estudio, se deberá de presentar un mapa de geología local, con las formaciones geológicas existentes en la zona de estudio (donde se deberán asociar o correlacionar las unidades litológicas observadas en el campo), y al menos un perfil hidrogeológico, donde se deberán de incluir el aprovechamiento (pozo o naciente) de estudio, otros pozos o nacientes cercanas, definir espesores de las formaciones-unidades así como todo aspecto estructural, de acuerdo con los cortes encontrados en el campo. Modelo hidrogeológico conceptual. En las descripciones en el texto, se deben incluir fotografías de las unidades o estructuras geológicas descritas (con coordenadas de sitio), para justificar los resultados presentados. </w:t>
      </w:r>
    </w:p>
    <w:p w14:paraId="1C5149F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58EE536"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Medición de campo de niveles de agua:</w:t>
      </w:r>
    </w:p>
    <w:p w14:paraId="05FC451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9F2B881"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 algunos de los pozos cercanos al sitio de interés, presentar pruebas de campo para justificar que se realizó este levantamiento (fotografías con coordenadas de sitio), esto como insumo para realizar las curvas isofreáticas o equipotenciales. Este punto es negociable en aquellos casos donde se dificulta el ingreso a propiedades privadas o por las condiciones del pozo para medición, si no cuenta con línea de aire, lo cual deberá ser demostrado-justificado. </w:t>
      </w:r>
    </w:p>
    <w:p w14:paraId="2F9CF518"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3737775"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Presentar una tabla con los parámetros del acuífero:</w:t>
      </w:r>
    </w:p>
    <w:p w14:paraId="6FBA7FE5"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60C95D7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Necesarios para la delimitación de las zonas de protección, para cada caso de estudio (transmisividad en m2/día, conductividad hidráulica del acuífero en m/d, caudal en l/s y m3/día, espesor saturado en m, gradiente hidráulico (deberá incluir por aparte un mapa de elementos hidrogeológicos donde se incorpore como mínimo: aprovechamiento -pozo o naciente- de interés, pozos y nacientes cercanas, las curvas equipotenciales o isofreáticas con sus valores respectivos sobre el trazo de las curvas utilizadas en el cálculo del gradiente hidráulico y las líneas de flujo respectivas, las curvas de nivel, los ríos y de fondo las unidades hidrogeológicas definidas, de acuerdo con el modelo de geología–hidrogeología local de la zona de estudio). Se deberá considerar y poner expresamente si el acuífero o los acuíferos presentes en la zona del aprovechamiento (pozo o naciente) es confinado, libre o semiconfinado, para el caso en estudio. En caso de pozos, si se captan varios acuíferos, deberá indicar para cada uno el comportamiento de dichas unidades hidrogeológicas a profundidad. Se deberá presentar un mapa de elementos hidrogeológicos (Escala 1:25000), según la condición hidrogeológica de cada sitio. </w:t>
      </w:r>
    </w:p>
    <w:p w14:paraId="2813800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F22CE81"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Cálculo de los tiempos de tránsito de contaminantes en la zona no saturada:</w:t>
      </w:r>
    </w:p>
    <w:p w14:paraId="4558F56B"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00CBD973" w14:textId="25B140E6" w:rsid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Y de ser necesario en la zona saturada, a partir de las metodologías existentes. Se deberán de realizar 3 pruebas de infiltración: una en el punto de interés y dos aguas arriba del mismo, las cuales deberán estar separadas por 100 m de distancia una de la otra. Se acepta el método de doble anillo o Porchet. Se debe definir el espesor de la zona no saturada, conductividad hidráulica de la zona no saturada (pruebas de infiltración), conductividad hidráulica de la zona saturada (a partir de pruebas de bombeo ya existentes). Las pruebas de infiltración se deberán de ubicar con respecto al aprovechamiento (pozo o naciente) de interés, en un mapa a escala 1:25000. </w:t>
      </w:r>
    </w:p>
    <w:p w14:paraId="1C13876E" w14:textId="343F5291" w:rsidR="0030428C" w:rsidRDefault="0030428C" w:rsidP="00B853B5">
      <w:pPr>
        <w:spacing w:after="0" w:line="240" w:lineRule="auto"/>
        <w:jc w:val="both"/>
        <w:rPr>
          <w:rFonts w:ascii="Garamond" w:eastAsia="Garamond" w:hAnsi="Garamond" w:cs="Garamond"/>
          <w:lang w:val="es-ES_tradnl" w:eastAsia="es-ES"/>
        </w:rPr>
      </w:pPr>
    </w:p>
    <w:p w14:paraId="7C4F42B7" w14:textId="07BF4F9C" w:rsidR="0030428C" w:rsidRDefault="0030428C" w:rsidP="00B853B5">
      <w:pPr>
        <w:spacing w:after="0" w:line="240" w:lineRule="auto"/>
        <w:jc w:val="both"/>
        <w:rPr>
          <w:rFonts w:ascii="Garamond" w:eastAsia="Garamond" w:hAnsi="Garamond" w:cs="Garamond"/>
          <w:lang w:val="es-ES_tradnl" w:eastAsia="es-ES"/>
        </w:rPr>
      </w:pPr>
    </w:p>
    <w:p w14:paraId="515DC127" w14:textId="14C7D8D3" w:rsidR="0030428C" w:rsidRDefault="0030428C" w:rsidP="00B853B5">
      <w:pPr>
        <w:spacing w:after="0" w:line="240" w:lineRule="auto"/>
        <w:jc w:val="both"/>
        <w:rPr>
          <w:rFonts w:ascii="Garamond" w:eastAsia="Garamond" w:hAnsi="Garamond" w:cs="Garamond"/>
          <w:lang w:val="es-ES_tradnl" w:eastAsia="es-ES"/>
        </w:rPr>
      </w:pPr>
    </w:p>
    <w:p w14:paraId="51D5E075" w14:textId="77777777" w:rsidR="0030428C" w:rsidRPr="00B853B5" w:rsidRDefault="0030428C" w:rsidP="00B853B5">
      <w:pPr>
        <w:spacing w:after="0" w:line="240" w:lineRule="auto"/>
        <w:jc w:val="both"/>
        <w:rPr>
          <w:rFonts w:ascii="Garamond" w:eastAsia="Garamond" w:hAnsi="Garamond" w:cs="Garamond"/>
          <w:lang w:val="es-ES_tradnl" w:eastAsia="es-ES"/>
        </w:rPr>
      </w:pPr>
    </w:p>
    <w:p w14:paraId="2761C082"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6C2309C0"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lastRenderedPageBreak/>
        <w:t>Los datos de porosidad:</w:t>
      </w:r>
    </w:p>
    <w:p w14:paraId="1739FDE1"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26CD6AFE"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Se deberán de realizar en los mismos lugares de las pruebas de infiltración (3), estas muestran deberás ser tomadas in situ y analizadas en el laboratorio para su respectivo resultado. Estos datos se deben adjuntar a cada estudio en los anexos debidamente firmados por el laboratorio. </w:t>
      </w:r>
    </w:p>
    <w:p w14:paraId="318E6C57"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FDF05D2"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 xml:space="preserve">Cálculo de las zonas de protección inmediata: </w:t>
      </w:r>
    </w:p>
    <w:p w14:paraId="69EF1650"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1437F0C7"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Tiempos de tránsito de contaminantes: (70 y/o 100 días), metodología analítica, cálculo de la zona de captura (Grubb, 1993–Anexo 2), metodología de Darcy y la metodología de radio fijo. Se deberá valorar en cada caso (pozo o naciente) cuál de ellas es la más aplicable en aras de la protección integral del aprovechamiento (pozo o naciente) y del acuífero. Presentar un mapa con la representación gráfica de la mismas a escala 1:10000 (con todas las medidas establecidas para la zona de protección, además se debe incluir la clasificación de la vulnerabilidad a la contaminación del acuífero dentro de las zonas de protección establecidas), trabajar los mapas en ArcGIS e indicar todos los atributos para el aprovechamiento (pozo o naciente). Se debe definir claramente para cada aprovechamiento (pozo o naciente) en estudio: la zona operacional de protección absoluta (indicando en un polígono el área comprendida), zona de protección absoluta bacteriológica inmediata (resultado del análisis de las metodologías de tiempo de tránsito u otras) y la zona de captura–regulación (esta última en caso de ser necesario, debido a las realidades de cada sitio de estudio y de los análisis anteriores: metodologías de radio fijo, Grubb y Darcy). Indicar además en el mapa de zonas de protección (para las mismas), el rango de la vulnerabilidad sea baja, media, alta o extrema en la zona operacional de protección absoluta y en la zona de protección absoluta bacteriológica inmediata. </w:t>
      </w:r>
    </w:p>
    <w:p w14:paraId="411CC37B"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07842093"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72E2678A" w14:textId="77777777" w:rsidR="00B853B5" w:rsidRPr="00B853B5" w:rsidRDefault="00B853B5" w:rsidP="00B853B5">
      <w:pPr>
        <w:widowControl w:val="0"/>
        <w:numPr>
          <w:ilvl w:val="0"/>
          <w:numId w:val="16"/>
        </w:numPr>
        <w:autoSpaceDE w:val="0"/>
        <w:autoSpaceDN w:val="0"/>
        <w:spacing w:after="0" w:line="240" w:lineRule="auto"/>
        <w:jc w:val="both"/>
        <w:rPr>
          <w:rFonts w:ascii="Garamond" w:hAnsi="Garamond" w:cs="Arial"/>
          <w:b/>
          <w:bCs/>
          <w:lang w:val="es-ES" w:eastAsia="en-US"/>
        </w:rPr>
      </w:pPr>
      <w:r w:rsidRPr="00B853B5">
        <w:rPr>
          <w:rFonts w:ascii="Garamond" w:eastAsia="Garamond" w:hAnsi="Garamond" w:cs="Garamond"/>
          <w:b/>
          <w:lang w:val="es-ES" w:eastAsia="en-US"/>
        </w:rPr>
        <w:t>Evaluar la vulnerabilidad intrínseca a la contaminación:</w:t>
      </w:r>
    </w:p>
    <w:p w14:paraId="72AB058D" w14:textId="77777777" w:rsidR="00B853B5" w:rsidRPr="00B853B5" w:rsidRDefault="00B853B5" w:rsidP="00B853B5">
      <w:pPr>
        <w:widowControl w:val="0"/>
        <w:autoSpaceDE w:val="0"/>
        <w:autoSpaceDN w:val="0"/>
        <w:spacing w:after="0" w:line="240" w:lineRule="auto"/>
        <w:ind w:left="720"/>
        <w:jc w:val="both"/>
        <w:rPr>
          <w:rFonts w:ascii="Garamond" w:hAnsi="Garamond" w:cs="Arial"/>
          <w:b/>
          <w:bCs/>
          <w:lang w:val="es-ES" w:eastAsia="en-US"/>
        </w:rPr>
      </w:pPr>
    </w:p>
    <w:p w14:paraId="2600EC22"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la zona de protección absoluta bacteriológica inmediata y en un área 500 m de radio alrededor de este punto, según el método GOD, incluir mapa, a escala 1:25000. </w:t>
      </w:r>
    </w:p>
    <w:p w14:paraId="0C6F9C36"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30C87E83"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Analizar los muestreos de calidad físico–química y bacteriológica existentes:</w:t>
      </w:r>
    </w:p>
    <w:p w14:paraId="16AA3897"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1B49B9E5" w14:textId="77777777" w:rsidR="00B853B5" w:rsidRPr="00B853B5" w:rsidRDefault="00B853B5" w:rsidP="00B853B5">
      <w:pPr>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De cada aprovechamiento (pozo o naciente), para lo cual, el Oferente deberá de ir al Laboratorio Nacional de Aguas de AyA o a las ASADAS, a solicitar la información requerida, con previa autorización de la contraparte institucional (se debe adjuntar correo con respecto a que la información fue solicitada al Laboratorio Nacional de Aguas). Solicitar al ente operador cualquier otro análisis del cual disponga al respecto y reseñarlo de manera distintiva con tal de diferenciarlos de los insumos dados por el Laboratorio Nacional de Aguas de AyA. </w:t>
      </w:r>
    </w:p>
    <w:p w14:paraId="766D5324" w14:textId="77777777" w:rsidR="00B853B5" w:rsidRPr="00B853B5" w:rsidRDefault="00B853B5" w:rsidP="00B853B5">
      <w:pPr>
        <w:spacing w:after="0" w:line="240" w:lineRule="auto"/>
        <w:jc w:val="both"/>
        <w:rPr>
          <w:rFonts w:ascii="Garamond" w:eastAsia="Garamond" w:hAnsi="Garamond" w:cs="Garamond"/>
          <w:lang w:val="es-ES_tradnl" w:eastAsia="es-ES"/>
        </w:rPr>
      </w:pPr>
    </w:p>
    <w:p w14:paraId="5B1B7AD2"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Conclusiones. </w:t>
      </w:r>
    </w:p>
    <w:p w14:paraId="4843B61C"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lang w:val="es-ES" w:eastAsia="en-US"/>
        </w:rPr>
      </w:pPr>
    </w:p>
    <w:p w14:paraId="68AE389F"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Recomendaciones.</w:t>
      </w:r>
    </w:p>
    <w:p w14:paraId="7EBF0D8A"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lang w:val="es-ES" w:eastAsia="en-US"/>
        </w:rPr>
      </w:pPr>
    </w:p>
    <w:p w14:paraId="027768EA"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Referencias bibliográficas.</w:t>
      </w:r>
    </w:p>
    <w:p w14:paraId="3A007D33"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b/>
          <w:lang w:val="es-ES" w:eastAsia="en-US"/>
        </w:rPr>
      </w:pPr>
    </w:p>
    <w:p w14:paraId="3FCFDD1B"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Los mapas deberán incluir los siguientes aspectos: </w:t>
      </w:r>
    </w:p>
    <w:p w14:paraId="24621B8B" w14:textId="77777777" w:rsidR="00B853B5" w:rsidRPr="00B853B5" w:rsidRDefault="00B853B5" w:rsidP="00B853B5">
      <w:pPr>
        <w:spacing w:after="200" w:line="276" w:lineRule="auto"/>
        <w:ind w:left="720"/>
        <w:contextualSpacing/>
        <w:rPr>
          <w:rFonts w:ascii="Garamond" w:eastAsia="Garamond" w:hAnsi="Garamond" w:cs="Garamond"/>
          <w:lang w:val="es-ES" w:eastAsia="en-US"/>
        </w:rPr>
      </w:pPr>
    </w:p>
    <w:p w14:paraId="62C768F4"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Título, cuadrícula con coordenadas proyectas en CRTM05, escala gráfica, simbología, leyenda y referencias. Todos los mapas y figuras deberán ser entregadas en formato JPG y en formato Map Package para su respectivo uso en ArcGIS. Todos los insumos contenidos dentro del Map Package deberán funcionar perfectamente y estar debidamente configurados para su utilización desde el programa ArcGIS (sea cual sea el formato de los aspectos trabajados en él: tablas, rasters, vectores, etc.). </w:t>
      </w:r>
    </w:p>
    <w:p w14:paraId="17124118"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lang w:val="es-ES" w:eastAsia="en-US"/>
        </w:rPr>
      </w:pPr>
    </w:p>
    <w:p w14:paraId="3257F123"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Para cada estudio entregado se solicitará una carpeta con toda la información contenida en los respectivos mapas en formato SHP (shapefile) en sistema de coordenadas CRTM05, DXF o DWG y en formato KML. </w:t>
      </w:r>
    </w:p>
    <w:p w14:paraId="72CAA720" w14:textId="77777777" w:rsidR="00B853B5" w:rsidRPr="00B853B5" w:rsidRDefault="00B853B5" w:rsidP="00B853B5">
      <w:pPr>
        <w:widowControl w:val="0"/>
        <w:autoSpaceDE w:val="0"/>
        <w:autoSpaceDN w:val="0"/>
        <w:spacing w:after="0" w:line="240" w:lineRule="auto"/>
        <w:ind w:left="720"/>
        <w:jc w:val="both"/>
        <w:rPr>
          <w:rFonts w:ascii="Garamond" w:eastAsia="Garamond" w:hAnsi="Garamond" w:cs="Garamond"/>
          <w:lang w:val="es-ES" w:eastAsia="en-US"/>
        </w:rPr>
      </w:pPr>
    </w:p>
    <w:p w14:paraId="637A678A"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En cuanto a la información en formato SHP (shapefile), específicamente las zonas de protección (Zona de protección absoluta bacteriológica inmediata, Zona operacional de protección absoluta y Zona de captura regulada), estas deberán de venir integradas de manera que a la hora de visualizarse en un sistema de información geográfica, ninguna zona vaya a obstruir la visualización de otra zona cercana, es decir que dentro de la zona de captura-regulada se logre observar las zonas de protección absoluta bacteriológica inmediata y la zona operacional de protección absoluta. Estas deben ser identificadas y estar de acuerdo con la nomenclatura definidas en el punto 9: zona operacional de protección absoluta, zona de protección absoluta bacteriológica inmediata y zona de captura–regulación; con su respectivo rango de vulnerabilidad indicado. </w:t>
      </w:r>
    </w:p>
    <w:p w14:paraId="69E30F25" w14:textId="77777777" w:rsidR="00B853B5" w:rsidRPr="00B853B5" w:rsidRDefault="00B853B5" w:rsidP="00B853B5">
      <w:pPr>
        <w:spacing w:after="200" w:line="240" w:lineRule="auto"/>
        <w:ind w:left="720"/>
        <w:contextualSpacing/>
        <w:jc w:val="both"/>
        <w:rPr>
          <w:rFonts w:ascii="Garamond" w:hAnsi="Garamond" w:cs="Arial"/>
          <w:bCs/>
          <w:lang w:val="es-ES" w:eastAsia="en-US"/>
        </w:rPr>
      </w:pPr>
    </w:p>
    <w:p w14:paraId="46C8DB81" w14:textId="77777777" w:rsidR="00B853B5" w:rsidRPr="00B853B5" w:rsidRDefault="00B853B5" w:rsidP="00B853B5">
      <w:pPr>
        <w:widowControl w:val="0"/>
        <w:numPr>
          <w:ilvl w:val="0"/>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Además, una vez finalizada la entrega de todos los estudios solicitados, se deberá entregar una memoria USB conteniendo la siguiente información: </w:t>
      </w:r>
    </w:p>
    <w:p w14:paraId="2299AE45" w14:textId="77777777" w:rsidR="00B853B5" w:rsidRPr="00B853B5" w:rsidRDefault="00B853B5" w:rsidP="00B853B5">
      <w:pPr>
        <w:spacing w:after="200" w:line="276" w:lineRule="auto"/>
        <w:ind w:left="720"/>
        <w:contextualSpacing/>
        <w:rPr>
          <w:rFonts w:ascii="Garamond" w:eastAsia="Garamond" w:hAnsi="Garamond" w:cs="Garamond"/>
          <w:lang w:val="es-ES" w:eastAsia="en-US"/>
        </w:rPr>
      </w:pPr>
    </w:p>
    <w:p w14:paraId="7CBF4EB3" w14:textId="77777777" w:rsidR="00B853B5" w:rsidRPr="00B853B5" w:rsidRDefault="00B853B5" w:rsidP="00B853B5">
      <w:pPr>
        <w:widowControl w:val="0"/>
        <w:numPr>
          <w:ilvl w:val="1"/>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Un shapefile de puntos que contenga la ubicación de todos los pozos, captaciones en cauces y nacientes, y del aprovechamiento (pozo o naciente) estudiado, en cada uno de los informes entregados. </w:t>
      </w:r>
    </w:p>
    <w:p w14:paraId="523B2DB9" w14:textId="77777777" w:rsidR="00B853B5" w:rsidRPr="00B853B5" w:rsidRDefault="00B853B5" w:rsidP="00B853B5">
      <w:pPr>
        <w:widowControl w:val="0"/>
        <w:numPr>
          <w:ilvl w:val="1"/>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Un archivo que contenga la información detallada en el inciso anterior, pero en formato KML y otro archivo en formato DWG. </w:t>
      </w:r>
    </w:p>
    <w:p w14:paraId="4356066C" w14:textId="77777777" w:rsidR="00B853B5" w:rsidRPr="00B853B5" w:rsidRDefault="00B853B5" w:rsidP="00B853B5">
      <w:pPr>
        <w:widowControl w:val="0"/>
        <w:numPr>
          <w:ilvl w:val="1"/>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Un shapefile de polígonos que contenga todas las zonas de protección respectivas a cada aprovechamiento (pozo o naciente). </w:t>
      </w:r>
    </w:p>
    <w:p w14:paraId="56412C82" w14:textId="77777777" w:rsidR="00B853B5" w:rsidRPr="00B853B5" w:rsidRDefault="00B853B5" w:rsidP="00B853B5">
      <w:pPr>
        <w:widowControl w:val="0"/>
        <w:numPr>
          <w:ilvl w:val="1"/>
          <w:numId w:val="16"/>
        </w:numPr>
        <w:autoSpaceDE w:val="0"/>
        <w:autoSpaceDN w:val="0"/>
        <w:spacing w:after="0" w:line="240" w:lineRule="auto"/>
        <w:jc w:val="both"/>
        <w:rPr>
          <w:rFonts w:ascii="Garamond" w:eastAsia="Garamond" w:hAnsi="Garamond" w:cs="Garamond"/>
          <w:lang w:val="es-ES" w:eastAsia="en-US"/>
        </w:rPr>
      </w:pPr>
      <w:r w:rsidRPr="00B853B5">
        <w:rPr>
          <w:rFonts w:ascii="Garamond" w:eastAsia="Garamond" w:hAnsi="Garamond" w:cs="Garamond"/>
          <w:lang w:val="es-ES" w:eastAsia="en-US"/>
        </w:rPr>
        <w:t xml:space="preserve">Un archivo conteniendo la información detallada en el inciso anterior, pero en formato KML y otro archivo en formato DWG. </w:t>
      </w:r>
    </w:p>
    <w:p w14:paraId="1D5557D0" w14:textId="77777777" w:rsidR="00B853B5" w:rsidRPr="00B853B5" w:rsidRDefault="00B853B5" w:rsidP="00B853B5">
      <w:pPr>
        <w:spacing w:after="200" w:line="240" w:lineRule="auto"/>
        <w:ind w:left="1440"/>
        <w:contextualSpacing/>
        <w:jc w:val="both"/>
        <w:rPr>
          <w:rFonts w:ascii="Garamond" w:hAnsi="Garamond" w:cs="Arial"/>
          <w:bCs/>
          <w:lang w:val="es-ES" w:eastAsia="en-US"/>
        </w:rPr>
      </w:pPr>
    </w:p>
    <w:p w14:paraId="6E167F35"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bookmarkStart w:id="86" w:name="_Toc158296423"/>
      <w:r w:rsidRPr="00B853B5">
        <w:rPr>
          <w:rFonts w:ascii="Garamond" w:eastAsia="Garamond" w:hAnsi="Garamond" w:cs="Garamond"/>
          <w:b/>
          <w:lang w:val="es-ES" w:eastAsia="en-US"/>
        </w:rPr>
        <w:t>Estudio de Impacto Ambiental</w:t>
      </w:r>
      <w:bookmarkEnd w:id="86"/>
    </w:p>
    <w:p w14:paraId="701AFA61" w14:textId="77777777" w:rsidR="00B853B5" w:rsidRPr="00B853B5" w:rsidRDefault="00B853B5" w:rsidP="00B853B5">
      <w:pPr>
        <w:spacing w:after="0" w:line="240" w:lineRule="auto"/>
        <w:jc w:val="both"/>
        <w:rPr>
          <w:rFonts w:ascii="Garamond" w:eastAsia="Times New Roman" w:hAnsi="Garamond" w:cs="Arial"/>
          <w:bCs/>
          <w:lang w:val="es-ES" w:eastAsia="es-ES"/>
        </w:rPr>
      </w:pPr>
    </w:p>
    <w:p w14:paraId="56044B41"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Este apartado comprende estudios de impacto ambiental en 5 acueductos del cantón de Buenos Aires (Volcán, El Carmen, La Amistad de Biolley, Helechales y Potrero Grande y Concepción de Pilas).</w:t>
      </w:r>
    </w:p>
    <w:p w14:paraId="7DC7EBBA"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79AB4D15"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En el proceso de análisis o de evaluación de impacto ambiental del proyecto, se deberán identificar los impactos que el proyecto podría generar en el ambiente, así como las medidas de intervención que dichos impactos requerirían y sus costos, los cuales deben ser llevados a las evaluaciones: financiera, costos y económica social del proyecto. Esto permitirá minimizar errores de estimación de costos, escoger las alternativas que mejor se adecuan al medio ambiente para asegurar la armonización del proyecto con la protección de los recursos naturales. Estos resultados posteriormente se integrarán en el análisis de riesgos de impacto ambiental para su cuantificación y posterior identificación de las medidas de mitigación requeridas. </w:t>
      </w:r>
    </w:p>
    <w:p w14:paraId="3BB90B0D"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44E9C545"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Por lo tanto, es conveniente identificar cómo cada una de las posibles alternativas de un proyecto se adecúan en relación con las condiciones ambientales observadas y los efectos que estas pudieran generar, de tal manera, que se puedan descartar aquellas que no cumplan con los requerimientos ambientales. </w:t>
      </w:r>
    </w:p>
    <w:p w14:paraId="5741AFD9"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E03F220"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metodología que se debe utilizar para identificar y valorar los impactos al medio ambiente corresponde a la indicada en el Manual de Instrumentos Técnicos para el Proceso de Evaluación del Impacto Ambiental (Decreto Ejecutivo 32966), particularmente los Anexos 1 y 2: </w:t>
      </w:r>
      <w:r w:rsidRPr="00B853B5">
        <w:rPr>
          <w:rFonts w:ascii="Garamond" w:eastAsia="Garamond" w:hAnsi="Garamond" w:cs="Garamond"/>
          <w:i/>
          <w:lang w:val="es-ES_tradnl" w:eastAsia="es-ES"/>
        </w:rPr>
        <w:t xml:space="preserve">“Guía General para la elaboración de instrumentos de Evaluación de Impacto Ambiental” </w:t>
      </w:r>
      <w:r w:rsidRPr="00B853B5">
        <w:rPr>
          <w:rFonts w:ascii="Garamond" w:eastAsia="Garamond" w:hAnsi="Garamond" w:cs="Garamond"/>
          <w:lang w:val="es-ES_tradnl" w:eastAsia="es-ES"/>
        </w:rPr>
        <w:t xml:space="preserve">e </w:t>
      </w:r>
      <w:r w:rsidRPr="00B853B5">
        <w:rPr>
          <w:rFonts w:ascii="Garamond" w:eastAsia="Garamond" w:hAnsi="Garamond" w:cs="Garamond"/>
          <w:i/>
          <w:lang w:val="es-ES_tradnl" w:eastAsia="es-ES"/>
        </w:rPr>
        <w:t>“Instructivo para la Valoración de Impactos Ambientales</w:t>
      </w:r>
      <w:r w:rsidRPr="00B853B5">
        <w:rPr>
          <w:rFonts w:ascii="Garamond" w:eastAsia="Garamond" w:hAnsi="Garamond" w:cs="Garamond"/>
          <w:lang w:val="es-ES_tradnl" w:eastAsia="es-ES"/>
        </w:rPr>
        <w:t>”, respectivamente.</w:t>
      </w:r>
    </w:p>
    <w:p w14:paraId="486C6461"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153C445"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Dado que el proyecto se encuentra en etapa de prefactibilidad, se debe: </w:t>
      </w:r>
    </w:p>
    <w:p w14:paraId="059D352E"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7B0DDC55"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Times New Roman"/>
          <w:lang w:val="es-ES_tradnl" w:eastAsia="es-ES"/>
        </w:rPr>
        <w:t>●</w:t>
      </w:r>
      <w:r w:rsidRPr="00B853B5">
        <w:rPr>
          <w:rFonts w:ascii="Garamond" w:eastAsia="Garamond" w:hAnsi="Garamond" w:cs="Garamond"/>
          <w:lang w:val="es-ES_tradnl" w:eastAsia="es-ES"/>
        </w:rPr>
        <w:t xml:space="preserve"> Elaborar los estudios requeridos para completar el Documento D1 o D2 dependiendo de la categor</w:t>
      </w:r>
      <w:r w:rsidRPr="00B853B5">
        <w:rPr>
          <w:rFonts w:ascii="Garamond" w:eastAsia="Garamond" w:hAnsi="Garamond" w:cs="Sitka Small"/>
          <w:lang w:val="es-ES_tradnl" w:eastAsia="es-ES"/>
        </w:rPr>
        <w:t>í</w:t>
      </w:r>
      <w:r w:rsidRPr="00B853B5">
        <w:rPr>
          <w:rFonts w:ascii="Garamond" w:eastAsia="Garamond" w:hAnsi="Garamond" w:cs="Garamond"/>
          <w:lang w:val="es-ES_tradnl" w:eastAsia="es-ES"/>
        </w:rPr>
        <w:t xml:space="preserve">a del Impacto Ambiental Potencial (IAP) e incluirlo como anexo al estudio del proyecto. </w:t>
      </w:r>
    </w:p>
    <w:p w14:paraId="5DCA9E2C"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Times New Roman"/>
          <w:lang w:val="es-ES_tradnl" w:eastAsia="es-ES"/>
        </w:rPr>
        <w:t>●</w:t>
      </w:r>
      <w:r w:rsidRPr="00B853B5">
        <w:rPr>
          <w:rFonts w:ascii="Garamond" w:eastAsia="Garamond" w:hAnsi="Garamond" w:cs="Garamond"/>
          <w:lang w:val="es-ES_tradnl" w:eastAsia="es-ES"/>
        </w:rPr>
        <w:t xml:space="preserve"> Presentar el D1 o D2 a SETENA para su an</w:t>
      </w:r>
      <w:r w:rsidRPr="00B853B5">
        <w:rPr>
          <w:rFonts w:ascii="Garamond" w:eastAsia="Garamond" w:hAnsi="Garamond" w:cs="Sitka Small"/>
          <w:lang w:val="es-ES_tradnl" w:eastAsia="es-ES"/>
        </w:rPr>
        <w:t>á</w:t>
      </w:r>
      <w:r w:rsidRPr="00B853B5">
        <w:rPr>
          <w:rFonts w:ascii="Garamond" w:eastAsia="Garamond" w:hAnsi="Garamond" w:cs="Garamond"/>
          <w:lang w:val="es-ES_tradnl" w:eastAsia="es-ES"/>
        </w:rPr>
        <w:t>lisis y evaluaci</w:t>
      </w:r>
      <w:r w:rsidRPr="00B853B5">
        <w:rPr>
          <w:rFonts w:ascii="Garamond" w:eastAsia="Garamond" w:hAnsi="Garamond" w:cs="Sitka Small"/>
          <w:lang w:val="es-ES_tradnl" w:eastAsia="es-ES"/>
        </w:rPr>
        <w:t>ó</w:t>
      </w:r>
      <w:r w:rsidRPr="00B853B5">
        <w:rPr>
          <w:rFonts w:ascii="Garamond" w:eastAsia="Garamond" w:hAnsi="Garamond" w:cs="Garamond"/>
          <w:lang w:val="es-ES_tradnl" w:eastAsia="es-ES"/>
        </w:rPr>
        <w:t xml:space="preserve">n. </w:t>
      </w:r>
    </w:p>
    <w:p w14:paraId="4122F126"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Times New Roman"/>
          <w:lang w:val="es-ES_tradnl" w:eastAsia="es-ES"/>
        </w:rPr>
        <w:t>●</w:t>
      </w:r>
      <w:r w:rsidRPr="00B853B5">
        <w:rPr>
          <w:rFonts w:ascii="Garamond" w:eastAsia="Garamond" w:hAnsi="Garamond" w:cs="Garamond"/>
          <w:lang w:val="es-ES_tradnl" w:eastAsia="es-ES"/>
        </w:rPr>
        <w:t xml:space="preserve"> Completar los siguientes apartados referentes a los impactos, medidas y sus costos. </w:t>
      </w:r>
    </w:p>
    <w:p w14:paraId="748A1F9C" w14:textId="77777777" w:rsidR="00B853B5" w:rsidRPr="00B853B5" w:rsidRDefault="00B853B5" w:rsidP="00B853B5">
      <w:pPr>
        <w:spacing w:after="0" w:line="240" w:lineRule="auto"/>
        <w:jc w:val="both"/>
        <w:rPr>
          <w:rFonts w:ascii="Garamond" w:eastAsia="Times New Roman" w:hAnsi="Garamond" w:cs="Times New Roman"/>
          <w:lang w:val="es-ES_tradnl" w:eastAsia="es-ES"/>
        </w:rPr>
      </w:pPr>
    </w:p>
    <w:p w14:paraId="71EB9795" w14:textId="77777777" w:rsidR="00B853B5" w:rsidRPr="00B853B5" w:rsidRDefault="00B853B5" w:rsidP="00B853B5">
      <w:pPr>
        <w:numPr>
          <w:ilvl w:val="2"/>
          <w:numId w:val="18"/>
        </w:numPr>
        <w:tabs>
          <w:tab w:val="left" w:pos="426"/>
        </w:tabs>
        <w:spacing w:before="120" w:after="0" w:line="240" w:lineRule="auto"/>
        <w:jc w:val="both"/>
        <w:rPr>
          <w:rFonts w:ascii="Garamond" w:eastAsia="Garamond" w:hAnsi="Garamond" w:cs="Garamond"/>
          <w:b/>
          <w:lang w:val="es-ES" w:eastAsia="en-US"/>
        </w:rPr>
      </w:pPr>
      <w:bookmarkStart w:id="87" w:name="_Toc158296424"/>
      <w:r w:rsidRPr="00B853B5">
        <w:rPr>
          <w:rFonts w:ascii="Garamond" w:eastAsia="Garamond" w:hAnsi="Garamond" w:cs="Garamond"/>
          <w:b/>
          <w:lang w:val="es-ES" w:eastAsia="en-US"/>
        </w:rPr>
        <w:t>Identificación y valoración de impactos ambientales</w:t>
      </w:r>
      <w:bookmarkEnd w:id="87"/>
    </w:p>
    <w:p w14:paraId="76232F54" w14:textId="77777777" w:rsidR="00B853B5" w:rsidRPr="00B853B5" w:rsidRDefault="00B853B5" w:rsidP="00B853B5">
      <w:pPr>
        <w:spacing w:after="0" w:line="240" w:lineRule="auto"/>
        <w:jc w:val="both"/>
        <w:rPr>
          <w:rFonts w:ascii="Garamond" w:eastAsia="Times New Roman" w:hAnsi="Garamond" w:cs="Arial"/>
          <w:bCs/>
          <w:lang w:val="es-ES" w:eastAsia="es-ES"/>
        </w:rPr>
      </w:pPr>
    </w:p>
    <w:p w14:paraId="3EDBA1A0"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El impacto ambiental se puede definir como el efecto que el proyecto o alguna de sus acciones y componentes tiene sobre el ambiente o sus elementos constituyentes. Sus efectos pueden ser de tipo positivo o negativo, directo o indirecto, acumulativo o no, reversible o irreversible, extenso o limitado, entre otras características. Se diferencia del daño ambiental en la medida y el momento en que el impacto ambiental es evaluado en un proceso ex – ante, de forma tal que puedan considerarse aspectos de prevención, mitigación y compensación para disminuir su alcance en el ambiente (Decreto Ejecutivo 31849-MINAE-S-MOPT-MAG-MEIC). </w:t>
      </w:r>
    </w:p>
    <w:p w14:paraId="0AD45790"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F2FDA06"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La identificación y valoración de los impactos ambientales se deben realizar de acuerdo con la metodología que se especifica en el Decreto Ejecutivo 32966-MINAE, Anexo 2; en la cual se identifican las actividades potencialmente impactantes en los factores ambientales potencialmente impactados, para el período de construcción, la fase de operación y la fase de cierre al final de su vida útil (abandono), cuando las circunstancias así lo requieran. </w:t>
      </w:r>
    </w:p>
    <w:p w14:paraId="39CBE030"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5D645A44"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Los impactos se deberán valorar de acuerdo con su importancia, la cual considera los siguientes elementos: naturaleza (impacto beneficioso o perjudicial), extensión (área de influencia), persistencia (permanencia del efecto), sinergia (potenciación de la manifestación), efecto, recuperabilidad, intensidad, momento, reversibilidad, acumulación y periodicidad. Esta valoración permite clasificar los impactos en irrelevantes o compatibles, moderados, severos y críticos.</w:t>
      </w:r>
    </w:p>
    <w:p w14:paraId="6DE7D1D2"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71694D70" w14:textId="77777777" w:rsidR="00B853B5" w:rsidRPr="00B853B5" w:rsidRDefault="00B853B5" w:rsidP="00B853B5">
      <w:pPr>
        <w:numPr>
          <w:ilvl w:val="2"/>
          <w:numId w:val="18"/>
        </w:numPr>
        <w:tabs>
          <w:tab w:val="left" w:pos="426"/>
        </w:tabs>
        <w:spacing w:before="120" w:after="0" w:line="240" w:lineRule="auto"/>
        <w:jc w:val="both"/>
        <w:rPr>
          <w:rFonts w:ascii="Garamond" w:eastAsia="Garamond" w:hAnsi="Garamond" w:cs="Garamond"/>
          <w:b/>
          <w:lang w:val="es-ES" w:eastAsia="en-US"/>
        </w:rPr>
      </w:pPr>
      <w:bookmarkStart w:id="88" w:name="_Toc158296425"/>
      <w:r w:rsidRPr="00B853B5">
        <w:rPr>
          <w:rFonts w:ascii="Garamond" w:eastAsia="Garamond" w:hAnsi="Garamond" w:cs="Garamond"/>
          <w:b/>
          <w:lang w:val="es-ES" w:eastAsia="en-US"/>
        </w:rPr>
        <w:t>Medidas correctoras y compensatorias</w:t>
      </w:r>
      <w:bookmarkEnd w:id="88"/>
    </w:p>
    <w:p w14:paraId="6FCCAE1B" w14:textId="77777777" w:rsidR="00B853B5" w:rsidRPr="00B853B5" w:rsidRDefault="00B853B5" w:rsidP="00B853B5">
      <w:pPr>
        <w:spacing w:after="0" w:line="240" w:lineRule="auto"/>
        <w:jc w:val="both"/>
        <w:rPr>
          <w:rFonts w:ascii="Garamond" w:eastAsia="Times New Roman" w:hAnsi="Garamond" w:cs="Arial"/>
          <w:bCs/>
          <w:lang w:val="es-ES" w:eastAsia="es-ES"/>
        </w:rPr>
      </w:pPr>
    </w:p>
    <w:p w14:paraId="1A403BB8"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Una vez valorados los impactos, se deberá proceder a determinar las medidas de intervención que se requerirá, de acuerdo con los lineamientos indicados en el Anexo 2 del Decreto Ejecutivo 32966 MINAE; donde se señala: </w:t>
      </w:r>
    </w:p>
    <w:p w14:paraId="2D3FC9B4"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329B94A" w14:textId="77777777" w:rsidR="00B853B5" w:rsidRPr="00B853B5" w:rsidRDefault="00B853B5" w:rsidP="00B853B5">
      <w:pPr>
        <w:widowControl w:val="0"/>
        <w:numPr>
          <w:ilvl w:val="0"/>
          <w:numId w:val="38"/>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Medidas protectoras que evitan la apariencia del efecto, modificando los elementos definitorios de la actividad (tecnología, diseño, traslado, tamaño, materias primas, entre otros). </w:t>
      </w:r>
    </w:p>
    <w:p w14:paraId="72B5F684"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49BF0D5B" w14:textId="77777777" w:rsidR="00B853B5" w:rsidRPr="00B853B5" w:rsidRDefault="00B853B5" w:rsidP="00B853B5">
      <w:pPr>
        <w:widowControl w:val="0"/>
        <w:numPr>
          <w:ilvl w:val="0"/>
          <w:numId w:val="38"/>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Medidas correctoras de impactos recuperables, dirigidas a anular, atenuar, corregir o modificar las acciones y efectos sobre: </w:t>
      </w:r>
    </w:p>
    <w:p w14:paraId="41704017"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0A5778A4"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1. Procesos productivos (técnicos, entre otros). </w:t>
      </w:r>
    </w:p>
    <w:p w14:paraId="58BBED97"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2. Condiciones de funcionamiento (filtros, insonorizaciones, normas de seguridad, entre otros). </w:t>
      </w:r>
    </w:p>
    <w:p w14:paraId="3C9694AB"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3. Factores del medio como agente transmisor (auspiciar dispersión atmosférica, dilución, entre otros). </w:t>
      </w:r>
    </w:p>
    <w:p w14:paraId="77D243A7"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4. Factores del medio como agente receptor (aumento de caudal, oxigenación de las aguas, entre otros). </w:t>
      </w:r>
    </w:p>
    <w:p w14:paraId="587A4E36"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5. Otros parámetros (modificación del efecto hacia otro de menor magnitud o importancia). </w:t>
      </w:r>
    </w:p>
    <w:p w14:paraId="671740DC" w14:textId="77777777" w:rsidR="00B853B5" w:rsidRPr="00B853B5" w:rsidRDefault="00B853B5" w:rsidP="00B853B5">
      <w:pPr>
        <w:spacing w:after="0" w:line="240" w:lineRule="auto"/>
        <w:ind w:left="1416"/>
        <w:jc w:val="both"/>
        <w:rPr>
          <w:rFonts w:ascii="Garamond" w:eastAsia="Garamond" w:hAnsi="Garamond" w:cs="Garamond"/>
          <w:lang w:val="es-ES_tradnl" w:eastAsia="es-ES"/>
        </w:rPr>
      </w:pPr>
    </w:p>
    <w:p w14:paraId="0220308F" w14:textId="77777777" w:rsidR="00B853B5" w:rsidRPr="00B853B5" w:rsidRDefault="00B853B5" w:rsidP="00B853B5">
      <w:pPr>
        <w:widowControl w:val="0"/>
        <w:numPr>
          <w:ilvl w:val="0"/>
          <w:numId w:val="38"/>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Medidas compensatorias de impactos irrecuperables e inevitables, que no inciden en la aparición del efecto, ni lo anulan o atenúan, pero si pueden compensar de alguna manera, la alteración del factor (licencia para contaminar, creación de zonas verdes, entre otras). </w:t>
      </w:r>
    </w:p>
    <w:p w14:paraId="27F3A25C"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48A8770B"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 xml:space="preserve">Si se obtienen varias medidas para reducir o eliminar el impacto ambiental, se debe elegir la alternativa que mejor se ajuste al medio, ya que en términos de eficiencia (generación de beneficios directos contra costos ambientales) asegura en parte la preservación de esa medida. </w:t>
      </w:r>
    </w:p>
    <w:p w14:paraId="01EBC6C1"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4D3480DA"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r w:rsidRPr="00B853B5">
        <w:rPr>
          <w:rFonts w:ascii="Garamond" w:eastAsia="Garamond" w:hAnsi="Garamond" w:cs="Garamond"/>
          <w:lang w:val="es-ES_tradnl" w:eastAsia="es-ES"/>
        </w:rPr>
        <w:t>Adicionalmente, si las medidas no logran los efectos ambientales requeridos, es posible que se deban realizar algunos ajustes al proyecto que garanticen la sostenibilidad ambiental del mismo, es decir, modificar aspectos del estudio técnico (tamaño, localización o tecnología).</w:t>
      </w:r>
    </w:p>
    <w:p w14:paraId="72400183"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1C86F906" w14:textId="77777777" w:rsidR="00B853B5" w:rsidRPr="00B853B5" w:rsidRDefault="00B853B5" w:rsidP="00B853B5">
      <w:pPr>
        <w:numPr>
          <w:ilvl w:val="1"/>
          <w:numId w:val="18"/>
        </w:numPr>
        <w:tabs>
          <w:tab w:val="left" w:pos="426"/>
        </w:tabs>
        <w:spacing w:before="120" w:after="0" w:line="240" w:lineRule="auto"/>
        <w:jc w:val="both"/>
        <w:rPr>
          <w:rFonts w:ascii="Garamond" w:eastAsia="Garamond" w:hAnsi="Garamond" w:cs="Garamond"/>
          <w:b/>
          <w:lang w:val="es-ES" w:eastAsia="en-US"/>
        </w:rPr>
      </w:pPr>
      <w:r w:rsidRPr="00B853B5">
        <w:rPr>
          <w:rFonts w:ascii="Garamond" w:eastAsia="Garamond" w:hAnsi="Garamond" w:cs="Garamond"/>
          <w:b/>
          <w:lang w:val="es-ES" w:eastAsia="en-US"/>
        </w:rPr>
        <w:t xml:space="preserve"> Marco de referencia</w:t>
      </w:r>
    </w:p>
    <w:p w14:paraId="010C2D88"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4B3B5F6C"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Reglamento para la prestación de los Servicios de AyA. Acuerdo de Junta Directiva No.2020-442. Y sus reformas. </w:t>
      </w:r>
    </w:p>
    <w:p w14:paraId="3FC881BC"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Reglamento De Las Asociaciones Administradoras De Sistemas De Acueductos Y Alcantarillados Comunales. Decreto Ejecutivo número 45285-S-MINAE6.3 </w:t>
      </w:r>
    </w:p>
    <w:p w14:paraId="0A25E3E4"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Norma técnica para diseño y construcción de sistemas de abastecimiento de agua potable, de saneamiento y pluvial. Acuerdo Junta Directiva de AyA N°2017-281. </w:t>
      </w:r>
    </w:p>
    <w:p w14:paraId="6AA44617"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Acuerdo de Junta directiva del AyA 206-2014. % de Agua No Contabilizada (ANC). </w:t>
      </w:r>
    </w:p>
    <w:p w14:paraId="3B21DD43"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Reglamento a la Ley de Hidrantes 8641. Benemérito Cuerpo de Bomberos de Costa Rica. </w:t>
      </w:r>
    </w:p>
    <w:p w14:paraId="1D322550"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Formulario GOD-65-04-F1. Requisitos de admisibilidad para un Estudio Técnico presentado a ASADAS. </w:t>
      </w:r>
    </w:p>
    <w:p w14:paraId="27CE3CF7"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Formulario GOD-65-04-F2: Requisitos de contenido para un Estudio Técnico presentado a ASADAS. </w:t>
      </w:r>
    </w:p>
    <w:p w14:paraId="2E058D79"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Formulario GOD-65-04-F3: Subsanación de requisitos para la revisión del contenido para un Estudio Técnico presentado a ASADAS. </w:t>
      </w:r>
    </w:p>
    <w:p w14:paraId="26112836"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Circular número 2024-00531: Instrucciones para análisis de periodos de diseño de la capacidad hídrica en Estudios Técnicos- Emitida por la Dirección de Operación de los Sistemas. </w:t>
      </w:r>
    </w:p>
    <w:p w14:paraId="7B405D81" w14:textId="77777777" w:rsidR="00B853B5" w:rsidRPr="00B853B5" w:rsidRDefault="00B853B5" w:rsidP="00B853B5">
      <w:pPr>
        <w:widowControl w:val="0"/>
        <w:numPr>
          <w:ilvl w:val="0"/>
          <w:numId w:val="40"/>
        </w:numPr>
        <w:autoSpaceDE w:val="0"/>
        <w:autoSpaceDN w:val="0"/>
        <w:spacing w:after="0" w:line="240" w:lineRule="auto"/>
        <w:contextualSpacing/>
        <w:jc w:val="both"/>
        <w:rPr>
          <w:rFonts w:ascii="Garamond" w:eastAsia="Garamond" w:hAnsi="Garamond" w:cs="Garamond"/>
          <w:lang w:val="es-ES" w:eastAsia="en-US"/>
        </w:rPr>
      </w:pPr>
      <w:r w:rsidRPr="00B853B5">
        <w:rPr>
          <w:rFonts w:ascii="Garamond" w:eastAsia="Garamond" w:hAnsi="Garamond" w:cs="Garamond"/>
          <w:lang w:val="es-ES" w:eastAsia="en-US"/>
        </w:rPr>
        <w:t xml:space="preserve">Reglamento a la Ley de Protección al Ciudadano del Exceso de Requisitos y Trámites Administrativos. </w:t>
      </w:r>
    </w:p>
    <w:p w14:paraId="6F501F69" w14:textId="77777777" w:rsidR="00B853B5" w:rsidRPr="00B853B5" w:rsidRDefault="00B853B5" w:rsidP="00B853B5">
      <w:pPr>
        <w:widowControl w:val="0"/>
        <w:numPr>
          <w:ilvl w:val="0"/>
          <w:numId w:val="40"/>
        </w:numPr>
        <w:autoSpaceDE w:val="0"/>
        <w:autoSpaceDN w:val="0"/>
        <w:adjustRightInd w:val="0"/>
        <w:spacing w:after="0" w:line="240" w:lineRule="auto"/>
        <w:contextualSpacing/>
        <w:jc w:val="both"/>
        <w:rPr>
          <w:rFonts w:ascii="Garamond" w:hAnsi="Garamond" w:cs="Arial"/>
          <w:color w:val="000000"/>
          <w:lang w:val="es-ES" w:eastAsia="en-US"/>
        </w:rPr>
      </w:pPr>
      <w:r w:rsidRPr="00B853B5">
        <w:rPr>
          <w:rFonts w:ascii="Garamond" w:eastAsia="Garamond" w:hAnsi="Garamond" w:cs="Garamond"/>
          <w:lang w:val="es-ES" w:eastAsia="en-US"/>
        </w:rPr>
        <w:t xml:space="preserve">Ley No. 6227 Ley General de la Administración Pública de Costa Rica. </w:t>
      </w:r>
    </w:p>
    <w:p w14:paraId="6FD20198" w14:textId="77777777" w:rsidR="00B853B5" w:rsidRPr="00B853B5" w:rsidRDefault="00B853B5" w:rsidP="00B853B5">
      <w:pPr>
        <w:widowControl w:val="0"/>
        <w:autoSpaceDE w:val="0"/>
        <w:autoSpaceDN w:val="0"/>
        <w:spacing w:after="0" w:line="240" w:lineRule="auto"/>
        <w:jc w:val="both"/>
        <w:rPr>
          <w:rFonts w:ascii="Garamond" w:eastAsia="Garamond" w:hAnsi="Garamond" w:cs="Garamond"/>
          <w:lang w:val="es-ES_tradnl" w:eastAsia="es-ES"/>
        </w:rPr>
      </w:pPr>
    </w:p>
    <w:p w14:paraId="66940732" w14:textId="77777777" w:rsidR="00B853B5" w:rsidRPr="00B853B5" w:rsidRDefault="00B853B5" w:rsidP="00B853B5">
      <w:pPr>
        <w:tabs>
          <w:tab w:val="right" w:pos="8931"/>
        </w:tabs>
        <w:spacing w:after="0" w:line="240" w:lineRule="auto"/>
        <w:jc w:val="both"/>
        <w:rPr>
          <w:rFonts w:ascii="Garamond" w:eastAsia="Times New Roman" w:hAnsi="Garamond" w:cs="Arial"/>
          <w:lang w:val="es-ES" w:eastAsia="es-ES"/>
        </w:rPr>
      </w:pPr>
    </w:p>
    <w:p w14:paraId="57E5076B" w14:textId="77777777" w:rsidR="00B853B5" w:rsidRPr="00B853B5" w:rsidRDefault="00B853B5" w:rsidP="00B853B5">
      <w:pPr>
        <w:tabs>
          <w:tab w:val="left" w:pos="426"/>
        </w:tabs>
        <w:spacing w:before="120" w:after="0" w:line="240" w:lineRule="auto"/>
        <w:jc w:val="both"/>
        <w:rPr>
          <w:rFonts w:ascii="Garamond" w:eastAsia="Garamond" w:hAnsi="Garamond" w:cs="Garamond"/>
          <w:b/>
          <w:smallCaps/>
          <w:lang w:val="es-ES_tradnl" w:eastAsia="es-ES"/>
        </w:rPr>
      </w:pPr>
    </w:p>
    <w:p w14:paraId="085A7030" w14:textId="77777777" w:rsidR="00B853B5" w:rsidRPr="00B853B5" w:rsidRDefault="00B853B5" w:rsidP="00B853B5">
      <w:pPr>
        <w:spacing w:after="0" w:line="360" w:lineRule="auto"/>
        <w:jc w:val="both"/>
        <w:rPr>
          <w:rFonts w:ascii="Garamond" w:eastAsia="Times New Roman" w:hAnsi="Garamond" w:cs="Arial"/>
          <w:b/>
          <w:lang w:val="es-ES_tradnl" w:eastAsia="es-ES"/>
        </w:rPr>
      </w:pPr>
    </w:p>
    <w:p w14:paraId="2E65E5EA" w14:textId="30CB8B6C" w:rsidR="00F67823" w:rsidRDefault="00F67823" w:rsidP="00533DC0">
      <w:pPr>
        <w:tabs>
          <w:tab w:val="left" w:pos="1440"/>
          <w:tab w:val="left" w:pos="2995"/>
          <w:tab w:val="left" w:pos="4680"/>
          <w:tab w:val="left" w:pos="5155"/>
          <w:tab w:val="left" w:pos="7675"/>
          <w:tab w:val="left" w:pos="10555"/>
        </w:tabs>
        <w:spacing w:before="280" w:line="240" w:lineRule="auto"/>
        <w:jc w:val="center"/>
        <w:rPr>
          <w:rFonts w:ascii="HendersonSansW00-BasicLight" w:eastAsia="Garamond" w:hAnsi="HendersonSansW00-BasicLight" w:cs="Garamond"/>
          <w:b/>
          <w:smallCaps/>
        </w:rPr>
      </w:pPr>
    </w:p>
    <w:sectPr w:rsidR="00F67823" w:rsidSect="00AC0C9E">
      <w:pgSz w:w="12240" w:h="15840" w:code="1"/>
      <w:pgMar w:top="1418" w:right="1701" w:bottom="1418"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48B04" w14:textId="77777777" w:rsidR="004F311A" w:rsidRDefault="004F311A">
      <w:pPr>
        <w:spacing w:after="0" w:line="240" w:lineRule="auto"/>
      </w:pPr>
      <w:r>
        <w:separator/>
      </w:r>
    </w:p>
  </w:endnote>
  <w:endnote w:type="continuationSeparator" w:id="0">
    <w:p w14:paraId="452EAE5F" w14:textId="77777777" w:rsidR="004F311A" w:rsidRDefault="004F3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lbany">
    <w:altName w:val="Arial"/>
    <w:charset w:val="00"/>
    <w:family w:val="swiss"/>
    <w:pitch w:val="variable"/>
  </w:font>
  <w:font w:name="HG Mincho Light J">
    <w:altName w:val="Times New Roman"/>
    <w:charset w:val="00"/>
    <w:family w:val="auto"/>
    <w:pitch w:val="variable"/>
  </w:font>
  <w:font w:name="Arial Rounded MT Bold">
    <w:panose1 w:val="020F070403050403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StempelGaramond Roman">
    <w:altName w:val="Cambria"/>
    <w:panose1 w:val="00000000000000000000"/>
    <w:charset w:val="00"/>
    <w:family w:val="roman"/>
    <w:notTrueType/>
    <w:pitch w:val="default"/>
    <w:sig w:usb0="00000003" w:usb1="00000000" w:usb2="00000000" w:usb3="00000000" w:csb0="00000001" w:csb1="00000000"/>
  </w:font>
  <w:font w:name="HendersonSansW00-BasicLight">
    <w:altName w:val="Calibri"/>
    <w:charset w:val="00"/>
    <w:family w:val="auto"/>
    <w:pitch w:val="variable"/>
    <w:sig w:usb0="A0000027"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TeXGyreAdventor">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49F24" w14:textId="77777777" w:rsidR="004F311A" w:rsidRDefault="004F311A">
      <w:pPr>
        <w:spacing w:after="0" w:line="240" w:lineRule="auto"/>
      </w:pPr>
      <w:r>
        <w:separator/>
      </w:r>
    </w:p>
  </w:footnote>
  <w:footnote w:type="continuationSeparator" w:id="0">
    <w:p w14:paraId="2317C28F" w14:textId="77777777" w:rsidR="004F311A" w:rsidRDefault="004F311A">
      <w:pPr>
        <w:spacing w:after="0" w:line="240" w:lineRule="auto"/>
      </w:pPr>
      <w:r>
        <w:continuationSeparator/>
      </w:r>
    </w:p>
  </w:footnote>
  <w:footnote w:id="1">
    <w:p w14:paraId="108E8C86" w14:textId="77777777" w:rsidR="00EF750D" w:rsidRPr="009473C0" w:rsidRDefault="00EF750D" w:rsidP="00B853B5">
      <w:pPr>
        <w:widowControl w:val="0"/>
        <w:autoSpaceDE w:val="0"/>
        <w:autoSpaceDN w:val="0"/>
        <w:jc w:val="both"/>
        <w:rPr>
          <w:rFonts w:ascii="Garamond" w:hAnsi="Garamond" w:cs="Arial"/>
          <w:lang w:val="es-ES"/>
        </w:rPr>
      </w:pPr>
      <w:r w:rsidRPr="009473C0">
        <w:rPr>
          <w:rFonts w:ascii="Garamond" w:hAnsi="Garamond"/>
          <w:vertAlign w:val="superscript"/>
        </w:rPr>
        <w:footnoteRef/>
      </w:r>
      <w:r w:rsidRPr="009473C0">
        <w:rPr>
          <w:rFonts w:ascii="Garamond" w:hAnsi="Garamond" w:cs="Arial"/>
          <w:sz w:val="24"/>
          <w:szCs w:val="24"/>
          <w:vertAlign w:val="superscript"/>
        </w:rPr>
        <w:t xml:space="preserve"> </w:t>
      </w:r>
      <w:r w:rsidRPr="009473C0">
        <w:rPr>
          <w:rFonts w:ascii="Garamond" w:eastAsia="Garamond" w:hAnsi="Garamond" w:cs="Garamond"/>
        </w:rPr>
        <w:t>Fuente: Universidad Nacional, 2020.</w:t>
      </w:r>
    </w:p>
  </w:footnote>
  <w:footnote w:id="2">
    <w:p w14:paraId="47B1B52A" w14:textId="77777777" w:rsidR="00EF750D" w:rsidRPr="009473C0" w:rsidRDefault="00EF750D" w:rsidP="00B853B5">
      <w:pPr>
        <w:jc w:val="both"/>
        <w:rPr>
          <w:rFonts w:ascii="Garamond" w:eastAsia="Garamond" w:hAnsi="Garamond" w:cs="Garamond"/>
        </w:rPr>
      </w:pPr>
      <w:r w:rsidRPr="009473C0">
        <w:rPr>
          <w:rFonts w:ascii="Garamond" w:eastAsia="Garamond" w:hAnsi="Garamond" w:cs="Garamond"/>
          <w:vertAlign w:val="superscript"/>
        </w:rPr>
        <w:footnoteRef/>
      </w:r>
      <w:r w:rsidRPr="009473C0">
        <w:rPr>
          <w:rFonts w:ascii="Garamond" w:eastAsia="Garamond" w:hAnsi="Garamond" w:cs="Garamond"/>
          <w:vertAlign w:val="superscript"/>
        </w:rPr>
        <w:t xml:space="preserve"> </w:t>
      </w:r>
      <w:r w:rsidRPr="009473C0">
        <w:rPr>
          <w:rFonts w:ascii="Garamond" w:eastAsia="Garamond" w:hAnsi="Garamond" w:cs="Garamond"/>
        </w:rPr>
        <w:t>Fuente: Programa Conjunto: Fortalecimiento de la Estrategia Puente al Desarrollo para romper el ciclo de pobreza local, con perspectiva de género ambiental. Ficha Cantonal Buenos Aires. Recuperado en 10/11/2023 de https://pnud-conocimiento.cr/wp-content/uploads/2022/06/Ficha-tecnica-Buenos-Aires-digital.pdf</w:t>
      </w:r>
    </w:p>
    <w:p w14:paraId="077FE6DA" w14:textId="77777777" w:rsidR="00EF750D" w:rsidRPr="009473C0" w:rsidRDefault="00EF750D" w:rsidP="00B853B5">
      <w:pPr>
        <w:pStyle w:val="Textonotapie"/>
        <w:rPr>
          <w:rFonts w:ascii="Garamond" w:hAnsi="Garamond"/>
          <w:lang w:val="es-ES"/>
        </w:rPr>
      </w:pPr>
    </w:p>
  </w:footnote>
  <w:footnote w:id="3">
    <w:p w14:paraId="50C7DD76" w14:textId="77777777" w:rsidR="00EF750D" w:rsidRPr="003A58B8" w:rsidRDefault="00EF750D" w:rsidP="00B853B5">
      <w:pPr>
        <w:pStyle w:val="Textonotapie"/>
        <w:rPr>
          <w:rFonts w:ascii="Garamond" w:hAnsi="Garamond" w:cs="Arial"/>
          <w:lang w:val="es-ES"/>
        </w:rPr>
      </w:pPr>
      <w:r w:rsidRPr="009473C0">
        <w:rPr>
          <w:rStyle w:val="Refdenotaalpie"/>
          <w:rFonts w:ascii="Garamond" w:hAnsi="Garamond" w:cs="Arial"/>
        </w:rPr>
        <w:footnoteRef/>
      </w:r>
      <w:r w:rsidRPr="009473C0">
        <w:rPr>
          <w:rFonts w:ascii="Garamond" w:hAnsi="Garamond" w:cs="Arial"/>
        </w:rPr>
        <w:t xml:space="preserve"> </w:t>
      </w:r>
      <w:r w:rsidRPr="009473C0">
        <w:rPr>
          <w:rFonts w:ascii="Garamond" w:eastAsia="Garamond" w:hAnsi="Garamond" w:cs="Garamond"/>
          <w:sz w:val="22"/>
          <w:szCs w:val="22"/>
          <w:lang w:val="es-CR"/>
        </w:rPr>
        <w:t>Fuente: PNUD y Escuela de Estadística de la Universidad de Costa Rica, 2020.</w:t>
      </w:r>
    </w:p>
  </w:footnote>
  <w:footnote w:id="4">
    <w:p w14:paraId="1E87CE69" w14:textId="77777777" w:rsidR="00EF750D" w:rsidRPr="00ED08FC" w:rsidRDefault="00EF750D" w:rsidP="00B853B5">
      <w:pPr>
        <w:pStyle w:val="Textonotapie"/>
        <w:rPr>
          <w:rFonts w:ascii="Garamond" w:hAnsi="Garamond" w:cs="Arial"/>
          <w:lang w:val="es-ES"/>
        </w:rPr>
      </w:pPr>
      <w:r w:rsidRPr="00ED08FC">
        <w:rPr>
          <w:rStyle w:val="Refdenotaalpie"/>
          <w:rFonts w:ascii="Garamond" w:hAnsi="Garamond" w:cs="Arial"/>
        </w:rPr>
        <w:footnoteRef/>
      </w:r>
      <w:r w:rsidRPr="00ED08FC">
        <w:rPr>
          <w:rFonts w:ascii="Garamond" w:hAnsi="Garamond" w:cs="Arial"/>
        </w:rPr>
        <w:t xml:space="preserve"> </w:t>
      </w:r>
      <w:r w:rsidRPr="00ED08FC">
        <w:rPr>
          <w:rFonts w:ascii="Garamond" w:eastAsia="Garamond" w:hAnsi="Garamond" w:cs="Garamond"/>
          <w:sz w:val="22"/>
          <w:szCs w:val="22"/>
          <w:lang w:val="es-CR"/>
        </w:rPr>
        <w:t>Fuente: INEC, 2023</w:t>
      </w:r>
    </w:p>
  </w:footnote>
  <w:footnote w:id="5">
    <w:p w14:paraId="5B06641D" w14:textId="77777777" w:rsidR="00EF750D" w:rsidRPr="00F56E55" w:rsidRDefault="00EF750D" w:rsidP="00B853B5">
      <w:pPr>
        <w:ind w:left="708"/>
        <w:jc w:val="both"/>
        <w:rPr>
          <w:rFonts w:ascii="Garamond" w:hAnsi="Garamond" w:cs="Arial"/>
        </w:rPr>
      </w:pPr>
      <w:r w:rsidRPr="00F56E55">
        <w:rPr>
          <w:rFonts w:ascii="Garamond" w:eastAsia="Garamond" w:hAnsi="Garamond" w:cs="Garamond"/>
          <w:vertAlign w:val="superscript"/>
        </w:rPr>
        <w:footnoteRef/>
      </w:r>
      <w:r w:rsidRPr="00F56E55">
        <w:rPr>
          <w:rFonts w:ascii="Garamond" w:eastAsia="Garamond" w:hAnsi="Garamond" w:cs="Garamond"/>
        </w:rPr>
        <w:t xml:space="preserve"> Según “Términos de Referencia para Contratación de Estudios Hidrogeológicos” generados por la UEN de Gestión Ambiental de la Subgerencia de Ambiente, Investigación y Desarrollo del AyA, la cual los trasladó a la Subgerencia Gestión de Sistemas Delegados mediante el memorando UEN-GA-2020-00347 del 6 de febrero de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52C2"/>
    <w:multiLevelType w:val="multilevel"/>
    <w:tmpl w:val="2B9A1B1A"/>
    <w:lvl w:ilvl="0">
      <w:start w:val="1"/>
      <w:numFmt w:val="upperRoman"/>
      <w:lvlText w:val="%1."/>
      <w:lvlJc w:val="left"/>
      <w:pPr>
        <w:ind w:left="1146"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8C7066"/>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A37F19"/>
    <w:multiLevelType w:val="multilevel"/>
    <w:tmpl w:val="81C6FFB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B43E2"/>
    <w:multiLevelType w:val="multilevel"/>
    <w:tmpl w:val="FC980D02"/>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99348A"/>
    <w:multiLevelType w:val="hybridMultilevel"/>
    <w:tmpl w:val="87184B8E"/>
    <w:lvl w:ilvl="0" w:tplc="D800312C">
      <w:start w:val="1"/>
      <w:numFmt w:val="bullet"/>
      <w:lvlText w:val="•"/>
      <w:lvlJc w:val="left"/>
      <w:pPr>
        <w:ind w:left="360" w:hanging="260"/>
      </w:pPr>
    </w:lvl>
    <w:lvl w:ilvl="1" w:tplc="E4B47178">
      <w:numFmt w:val="decimal"/>
      <w:lvlText w:val=""/>
      <w:lvlJc w:val="left"/>
    </w:lvl>
    <w:lvl w:ilvl="2" w:tplc="91ECB636">
      <w:numFmt w:val="decimal"/>
      <w:lvlText w:val=""/>
      <w:lvlJc w:val="left"/>
    </w:lvl>
    <w:lvl w:ilvl="3" w:tplc="DA847476">
      <w:numFmt w:val="decimal"/>
      <w:lvlText w:val=""/>
      <w:lvlJc w:val="left"/>
    </w:lvl>
    <w:lvl w:ilvl="4" w:tplc="6982FCC4">
      <w:numFmt w:val="decimal"/>
      <w:lvlText w:val=""/>
      <w:lvlJc w:val="left"/>
    </w:lvl>
    <w:lvl w:ilvl="5" w:tplc="9DE29338">
      <w:numFmt w:val="decimal"/>
      <w:lvlText w:val=""/>
      <w:lvlJc w:val="left"/>
    </w:lvl>
    <w:lvl w:ilvl="6" w:tplc="4D288F66">
      <w:numFmt w:val="decimal"/>
      <w:lvlText w:val=""/>
      <w:lvlJc w:val="left"/>
    </w:lvl>
    <w:lvl w:ilvl="7" w:tplc="A5648B5E">
      <w:numFmt w:val="decimal"/>
      <w:lvlText w:val=""/>
      <w:lvlJc w:val="left"/>
    </w:lvl>
    <w:lvl w:ilvl="8" w:tplc="0A581F3A">
      <w:numFmt w:val="decimal"/>
      <w:lvlText w:val=""/>
      <w:lvlJc w:val="left"/>
    </w:lvl>
  </w:abstractNum>
  <w:abstractNum w:abstractNumId="5" w15:restartNumberingAfterBreak="0">
    <w:nsid w:val="0E841325"/>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090907"/>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113421D3"/>
    <w:multiLevelType w:val="hybridMultilevel"/>
    <w:tmpl w:val="CD860A4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847495"/>
    <w:multiLevelType w:val="multilevel"/>
    <w:tmpl w:val="8322594A"/>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0A0E34"/>
    <w:multiLevelType w:val="hybridMultilevel"/>
    <w:tmpl w:val="42FC35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4D14A6B"/>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16E34284"/>
    <w:multiLevelType w:val="hybridMultilevel"/>
    <w:tmpl w:val="1F508F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5647FE"/>
    <w:multiLevelType w:val="multilevel"/>
    <w:tmpl w:val="272E5DB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EF6563"/>
    <w:multiLevelType w:val="multilevel"/>
    <w:tmpl w:val="A3C8B85C"/>
    <w:lvl w:ilvl="0">
      <w:start w:val="1"/>
      <w:numFmt w:val="decimal"/>
      <w:lvlText w:val="%1."/>
      <w:lvlJc w:val="left"/>
      <w:pPr>
        <w:ind w:left="600" w:hanging="360"/>
      </w:pPr>
      <w:rPr>
        <w:b/>
      </w:rPr>
    </w:lvl>
    <w:lvl w:ilvl="1">
      <w:start w:val="1"/>
      <w:numFmt w:val="lowerLetter"/>
      <w:lvlText w:val="%2."/>
      <w:lvlJc w:val="left"/>
      <w:pPr>
        <w:ind w:left="1680" w:hanging="720"/>
      </w:pPr>
      <w:rPr>
        <w:b/>
      </w:rPr>
    </w:lvl>
    <w:lvl w:ilvl="2">
      <w:start w:val="1"/>
      <w:numFmt w:val="lowerRoman"/>
      <w:lvlText w:val="%3."/>
      <w:lvlJc w:val="right"/>
      <w:pPr>
        <w:ind w:left="204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1D7D0DA1"/>
    <w:multiLevelType w:val="hybridMultilevel"/>
    <w:tmpl w:val="0BB098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E303D13"/>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1F96060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7D1DC7"/>
    <w:multiLevelType w:val="hybridMultilevel"/>
    <w:tmpl w:val="0D98CC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20B2D69"/>
    <w:multiLevelType w:val="hybridMultilevel"/>
    <w:tmpl w:val="AF26CC62"/>
    <w:lvl w:ilvl="0" w:tplc="0C0A0019">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9" w15:restartNumberingAfterBreak="0">
    <w:nsid w:val="24F05257"/>
    <w:multiLevelType w:val="hybridMultilevel"/>
    <w:tmpl w:val="5AFE35A2"/>
    <w:lvl w:ilvl="0" w:tplc="0C0A000F">
      <w:start w:val="1"/>
      <w:numFmt w:val="decimal"/>
      <w:lvlText w:val="%1."/>
      <w:lvlJc w:val="left"/>
      <w:pPr>
        <w:ind w:left="1080" w:hanging="360"/>
      </w:p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25804AEF"/>
    <w:multiLevelType w:val="multilevel"/>
    <w:tmpl w:val="09507DD4"/>
    <w:styleLink w:val="Estiloimportado13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81E2F4F"/>
    <w:multiLevelType w:val="hybridMultilevel"/>
    <w:tmpl w:val="26B8E79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08238C"/>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746D95"/>
    <w:multiLevelType w:val="hybridMultilevel"/>
    <w:tmpl w:val="69B22A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60524FF"/>
    <w:multiLevelType w:val="multilevel"/>
    <w:tmpl w:val="FD646B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B62AEA"/>
    <w:multiLevelType w:val="hybridMultilevel"/>
    <w:tmpl w:val="375899F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0E3310"/>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E65017"/>
    <w:multiLevelType w:val="multilevel"/>
    <w:tmpl w:val="B31E259C"/>
    <w:lvl w:ilvl="0">
      <w:start w:val="1"/>
      <w:numFmt w:val="decimal"/>
      <w:lvlText w:val="%1."/>
      <w:lvlJc w:val="left"/>
      <w:pPr>
        <w:ind w:left="720" w:hanging="360"/>
      </w:pPr>
      <w:rPr>
        <w:rFonts w:ascii="Arial" w:hAnsi="Arial" w:cs="Times New Roman" w:hint="default"/>
        <w:b w:val="0"/>
        <w:i w:val="0"/>
        <w:strike w:val="0"/>
        <w:dstrike w:val="0"/>
        <w:color w:val="000000"/>
        <w:sz w:val="22"/>
        <w:szCs w:val="22"/>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D577A6D"/>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41D66D27"/>
    <w:multiLevelType w:val="hybridMultilevel"/>
    <w:tmpl w:val="7FDA4D5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43240549"/>
    <w:multiLevelType w:val="hybridMultilevel"/>
    <w:tmpl w:val="CD860A4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5660F38"/>
    <w:multiLevelType w:val="hybridMultilevel"/>
    <w:tmpl w:val="AF26CC62"/>
    <w:lvl w:ilvl="0" w:tplc="0C0A0019">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2" w15:restartNumberingAfterBreak="0">
    <w:nsid w:val="4AFF6338"/>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B746D2F"/>
    <w:multiLevelType w:val="multilevel"/>
    <w:tmpl w:val="C638D9C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D13073C"/>
    <w:multiLevelType w:val="hybridMultilevel"/>
    <w:tmpl w:val="706434F6"/>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5" w15:restartNumberingAfterBreak="0">
    <w:nsid w:val="4F622290"/>
    <w:multiLevelType w:val="hybridMultilevel"/>
    <w:tmpl w:val="35D80D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0FB7198"/>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7" w15:restartNumberingAfterBreak="0">
    <w:nsid w:val="530530FC"/>
    <w:multiLevelType w:val="multilevel"/>
    <w:tmpl w:val="18DE7598"/>
    <w:lvl w:ilvl="0">
      <w:start w:val="1"/>
      <w:numFmt w:val="upperRoman"/>
      <w:lvlText w:val="%1."/>
      <w:lvlJc w:val="righ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5D460C6C"/>
    <w:multiLevelType w:val="multilevel"/>
    <w:tmpl w:val="591E5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E716B25"/>
    <w:multiLevelType w:val="hybridMultilevel"/>
    <w:tmpl w:val="7B003F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96F18D3"/>
    <w:multiLevelType w:val="hybridMultilevel"/>
    <w:tmpl w:val="109802D6"/>
    <w:lvl w:ilvl="0" w:tplc="0C0A0001">
      <w:start w:val="1"/>
      <w:numFmt w:val="bullet"/>
      <w:lvlText w:val=""/>
      <w:lvlJc w:val="left"/>
      <w:pPr>
        <w:ind w:left="1068" w:hanging="360"/>
      </w:pPr>
      <w:rPr>
        <w:rFonts w:ascii="Symbol" w:hAnsi="Symbol" w:hint="default"/>
      </w:rPr>
    </w:lvl>
    <w:lvl w:ilvl="1" w:tplc="0C0A0019">
      <w:start w:val="1"/>
      <w:numFmt w:val="lowerLetter"/>
      <w:lvlText w:val="%2."/>
      <w:lvlJc w:val="left"/>
      <w:pPr>
        <w:ind w:left="1788" w:hanging="360"/>
      </w:pPr>
    </w:lvl>
    <w:lvl w:ilvl="2" w:tplc="0C0A0001">
      <w:start w:val="1"/>
      <w:numFmt w:val="bullet"/>
      <w:lvlText w:val=""/>
      <w:lvlJc w:val="left"/>
      <w:pPr>
        <w:ind w:left="2508" w:hanging="180"/>
      </w:pPr>
      <w:rPr>
        <w:rFonts w:ascii="Symbol" w:hAnsi="Symbol" w:hint="default"/>
      </w:r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1" w15:restartNumberingAfterBreak="0">
    <w:nsid w:val="6BBA18DE"/>
    <w:multiLevelType w:val="multilevel"/>
    <w:tmpl w:val="71BEE4D2"/>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2" w15:restartNumberingAfterBreak="0">
    <w:nsid w:val="6C3A37E5"/>
    <w:multiLevelType w:val="hybridMultilevel"/>
    <w:tmpl w:val="EA3C891E"/>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3" w15:restartNumberingAfterBreak="0">
    <w:nsid w:val="6D077109"/>
    <w:multiLevelType w:val="multilevel"/>
    <w:tmpl w:val="908E224A"/>
    <w:lvl w:ilvl="0">
      <w:start w:val="1"/>
      <w:numFmt w:val="bullet"/>
      <w:pStyle w:val="Listaconvietas3"/>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04E3D3F"/>
    <w:multiLevelType w:val="hybridMultilevel"/>
    <w:tmpl w:val="BB428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21E420E"/>
    <w:multiLevelType w:val="hybridMultilevel"/>
    <w:tmpl w:val="C344B65A"/>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6" w15:restartNumberingAfterBreak="0">
    <w:nsid w:val="753704C4"/>
    <w:multiLevelType w:val="multilevel"/>
    <w:tmpl w:val="D214CF8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770382"/>
    <w:multiLevelType w:val="multilevel"/>
    <w:tmpl w:val="EB90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143559"/>
    <w:multiLevelType w:val="multilevel"/>
    <w:tmpl w:val="E45AF5AC"/>
    <w:styleLink w:val="Estiloimportado13"/>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rPr>
        <w:rFonts w:hAnsi="Arial Unicode MS"/>
        <w:b/>
        <w:bCs/>
        <w:caps w:val="0"/>
        <w:smallCaps w:val="0"/>
        <w:strike w:val="0"/>
        <w:dstrike w:val="0"/>
        <w:color w:val="000000"/>
        <w:spacing w:val="0"/>
        <w:w w:val="100"/>
        <w:kern w:val="0"/>
        <w:position w:val="0"/>
        <w:highlight w:val="none"/>
        <w:vertAlign w:val="baseline"/>
      </w:rPr>
    </w:lvl>
  </w:abstractNum>
  <w:num w:numId="1">
    <w:abstractNumId w:val="8"/>
  </w:num>
  <w:num w:numId="2">
    <w:abstractNumId w:val="20"/>
  </w:num>
  <w:num w:numId="3">
    <w:abstractNumId w:val="43"/>
  </w:num>
  <w:num w:numId="4">
    <w:abstractNumId w:val="38"/>
  </w:num>
  <w:num w:numId="5">
    <w:abstractNumId w:val="24"/>
  </w:num>
  <w:num w:numId="6">
    <w:abstractNumId w:val="2"/>
  </w:num>
  <w:num w:numId="7">
    <w:abstractNumId w:val="3"/>
  </w:num>
  <w:num w:numId="8">
    <w:abstractNumId w:val="0"/>
  </w:num>
  <w:num w:numId="9">
    <w:abstractNumId w:val="5"/>
  </w:num>
  <w:num w:numId="10">
    <w:abstractNumId w:val="41"/>
  </w:num>
  <w:num w:numId="11">
    <w:abstractNumId w:val="13"/>
  </w:num>
  <w:num w:numId="12">
    <w:abstractNumId w:val="48"/>
  </w:num>
  <w:num w:numId="13">
    <w:abstractNumId w:val="45"/>
  </w:num>
  <w:num w:numId="14">
    <w:abstractNumId w:val="17"/>
  </w:num>
  <w:num w:numId="15">
    <w:abstractNumId w:val="22"/>
  </w:num>
  <w:num w:numId="16">
    <w:abstractNumId w:val="25"/>
  </w:num>
  <w:num w:numId="17">
    <w:abstractNumId w:val="44"/>
  </w:num>
  <w:num w:numId="18">
    <w:abstractNumId w:val="16"/>
  </w:num>
  <w:num w:numId="19">
    <w:abstractNumId w:val="47"/>
  </w:num>
  <w:num w:numId="20">
    <w:abstractNumId w:val="27"/>
  </w:num>
  <w:num w:numId="21">
    <w:abstractNumId w:val="11"/>
  </w:num>
  <w:num w:numId="22">
    <w:abstractNumId w:val="23"/>
  </w:num>
  <w:num w:numId="23">
    <w:abstractNumId w:val="46"/>
  </w:num>
  <w:num w:numId="24">
    <w:abstractNumId w:val="26"/>
  </w:num>
  <w:num w:numId="25">
    <w:abstractNumId w:val="32"/>
  </w:num>
  <w:num w:numId="26">
    <w:abstractNumId w:val="1"/>
  </w:num>
  <w:num w:numId="27">
    <w:abstractNumId w:val="35"/>
  </w:num>
  <w:num w:numId="28">
    <w:abstractNumId w:val="30"/>
  </w:num>
  <w:num w:numId="29">
    <w:abstractNumId w:val="40"/>
  </w:num>
  <w:num w:numId="30">
    <w:abstractNumId w:val="7"/>
  </w:num>
  <w:num w:numId="31">
    <w:abstractNumId w:val="34"/>
  </w:num>
  <w:num w:numId="32">
    <w:abstractNumId w:val="28"/>
  </w:num>
  <w:num w:numId="33">
    <w:abstractNumId w:val="36"/>
  </w:num>
  <w:num w:numId="34">
    <w:abstractNumId w:val="15"/>
  </w:num>
  <w:num w:numId="35">
    <w:abstractNumId w:val="10"/>
  </w:num>
  <w:num w:numId="36">
    <w:abstractNumId w:val="42"/>
  </w:num>
  <w:num w:numId="37">
    <w:abstractNumId w:val="6"/>
  </w:num>
  <w:num w:numId="38">
    <w:abstractNumId w:val="21"/>
  </w:num>
  <w:num w:numId="39">
    <w:abstractNumId w:val="14"/>
  </w:num>
  <w:num w:numId="40">
    <w:abstractNumId w:val="39"/>
  </w:num>
  <w:num w:numId="41">
    <w:abstractNumId w:val="12"/>
  </w:num>
  <w:num w:numId="42">
    <w:abstractNumId w:val="33"/>
  </w:num>
  <w:num w:numId="43">
    <w:abstractNumId w:val="9"/>
  </w:num>
  <w:num w:numId="44">
    <w:abstractNumId w:val="29"/>
  </w:num>
  <w:num w:numId="45">
    <w:abstractNumId w:val="37"/>
  </w:num>
  <w:num w:numId="46">
    <w:abstractNumId w:val="19"/>
  </w:num>
  <w:num w:numId="47">
    <w:abstractNumId w:val="18"/>
  </w:num>
  <w:num w:numId="48">
    <w:abstractNumId w:val="31"/>
  </w:num>
  <w:num w:numId="49">
    <w:abstractNumId w:val="4"/>
    <w:lvlOverride w:ilvl="0">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DE"/>
    <w:rsid w:val="00000C46"/>
    <w:rsid w:val="0000266D"/>
    <w:rsid w:val="000043F0"/>
    <w:rsid w:val="00004AEA"/>
    <w:rsid w:val="000064F6"/>
    <w:rsid w:val="00013223"/>
    <w:rsid w:val="00013559"/>
    <w:rsid w:val="00013925"/>
    <w:rsid w:val="000144DB"/>
    <w:rsid w:val="00016130"/>
    <w:rsid w:val="00022397"/>
    <w:rsid w:val="000311B9"/>
    <w:rsid w:val="00031EB6"/>
    <w:rsid w:val="00035F0D"/>
    <w:rsid w:val="00035F9C"/>
    <w:rsid w:val="00036AE9"/>
    <w:rsid w:val="00037CEF"/>
    <w:rsid w:val="00040EF6"/>
    <w:rsid w:val="00044835"/>
    <w:rsid w:val="00044D35"/>
    <w:rsid w:val="00046805"/>
    <w:rsid w:val="000518AB"/>
    <w:rsid w:val="00060C66"/>
    <w:rsid w:val="000614EC"/>
    <w:rsid w:val="000662A7"/>
    <w:rsid w:val="00067A58"/>
    <w:rsid w:val="0007392C"/>
    <w:rsid w:val="00076418"/>
    <w:rsid w:val="0007757B"/>
    <w:rsid w:val="00081A09"/>
    <w:rsid w:val="000854F7"/>
    <w:rsid w:val="00085F4E"/>
    <w:rsid w:val="000872D7"/>
    <w:rsid w:val="00091DFB"/>
    <w:rsid w:val="0009349D"/>
    <w:rsid w:val="00095C61"/>
    <w:rsid w:val="00096FCC"/>
    <w:rsid w:val="0009779B"/>
    <w:rsid w:val="00097E7A"/>
    <w:rsid w:val="000A367B"/>
    <w:rsid w:val="000A6B07"/>
    <w:rsid w:val="000A7366"/>
    <w:rsid w:val="000B1125"/>
    <w:rsid w:val="000B26E8"/>
    <w:rsid w:val="000B43CD"/>
    <w:rsid w:val="000B7EEE"/>
    <w:rsid w:val="000C4945"/>
    <w:rsid w:val="000C50D4"/>
    <w:rsid w:val="000C6CC8"/>
    <w:rsid w:val="000C7963"/>
    <w:rsid w:val="000D06D1"/>
    <w:rsid w:val="000D2B15"/>
    <w:rsid w:val="000E127B"/>
    <w:rsid w:val="000F0C63"/>
    <w:rsid w:val="000F42D9"/>
    <w:rsid w:val="000F6112"/>
    <w:rsid w:val="000F7073"/>
    <w:rsid w:val="000F70D0"/>
    <w:rsid w:val="00110A13"/>
    <w:rsid w:val="00114FD3"/>
    <w:rsid w:val="0012031C"/>
    <w:rsid w:val="0012415A"/>
    <w:rsid w:val="001356D8"/>
    <w:rsid w:val="001416FE"/>
    <w:rsid w:val="00143309"/>
    <w:rsid w:val="00144128"/>
    <w:rsid w:val="00151FD2"/>
    <w:rsid w:val="0015333A"/>
    <w:rsid w:val="00155F99"/>
    <w:rsid w:val="00156484"/>
    <w:rsid w:val="00161066"/>
    <w:rsid w:val="00161E87"/>
    <w:rsid w:val="0017207B"/>
    <w:rsid w:val="00175B0A"/>
    <w:rsid w:val="00176198"/>
    <w:rsid w:val="00180A13"/>
    <w:rsid w:val="00181262"/>
    <w:rsid w:val="00184F4B"/>
    <w:rsid w:val="00186F37"/>
    <w:rsid w:val="00192605"/>
    <w:rsid w:val="00192ED6"/>
    <w:rsid w:val="001937BE"/>
    <w:rsid w:val="001963CD"/>
    <w:rsid w:val="001967F1"/>
    <w:rsid w:val="00196828"/>
    <w:rsid w:val="001A2D97"/>
    <w:rsid w:val="001A63FD"/>
    <w:rsid w:val="001B2417"/>
    <w:rsid w:val="001B50FA"/>
    <w:rsid w:val="001B632B"/>
    <w:rsid w:val="001C3B2C"/>
    <w:rsid w:val="001C5BFD"/>
    <w:rsid w:val="001D0363"/>
    <w:rsid w:val="001D09DB"/>
    <w:rsid w:val="001D1EDF"/>
    <w:rsid w:val="001D7C1D"/>
    <w:rsid w:val="001E1238"/>
    <w:rsid w:val="001E6CF2"/>
    <w:rsid w:val="001F2265"/>
    <w:rsid w:val="001F3426"/>
    <w:rsid w:val="001F351F"/>
    <w:rsid w:val="001F5C23"/>
    <w:rsid w:val="001F5EF2"/>
    <w:rsid w:val="001F63E7"/>
    <w:rsid w:val="001F666B"/>
    <w:rsid w:val="001F7890"/>
    <w:rsid w:val="00205FF8"/>
    <w:rsid w:val="002110DC"/>
    <w:rsid w:val="00216104"/>
    <w:rsid w:val="00216D92"/>
    <w:rsid w:val="00220678"/>
    <w:rsid w:val="002211F7"/>
    <w:rsid w:val="0022284A"/>
    <w:rsid w:val="002467F5"/>
    <w:rsid w:val="00252CA1"/>
    <w:rsid w:val="00253A3E"/>
    <w:rsid w:val="00256DAA"/>
    <w:rsid w:val="00257338"/>
    <w:rsid w:val="002614C1"/>
    <w:rsid w:val="0026351B"/>
    <w:rsid w:val="00263D63"/>
    <w:rsid w:val="00271434"/>
    <w:rsid w:val="00273032"/>
    <w:rsid w:val="00277859"/>
    <w:rsid w:val="00281209"/>
    <w:rsid w:val="00281B2D"/>
    <w:rsid w:val="0028438A"/>
    <w:rsid w:val="00287B3D"/>
    <w:rsid w:val="002907CF"/>
    <w:rsid w:val="00292CBF"/>
    <w:rsid w:val="00294AFE"/>
    <w:rsid w:val="00296688"/>
    <w:rsid w:val="00297063"/>
    <w:rsid w:val="002A11B5"/>
    <w:rsid w:val="002A7D4C"/>
    <w:rsid w:val="002B3C83"/>
    <w:rsid w:val="002B4049"/>
    <w:rsid w:val="002B4AB8"/>
    <w:rsid w:val="002B6614"/>
    <w:rsid w:val="002C2151"/>
    <w:rsid w:val="002C2C61"/>
    <w:rsid w:val="002C5057"/>
    <w:rsid w:val="002C6F57"/>
    <w:rsid w:val="002D29E9"/>
    <w:rsid w:val="002E03FF"/>
    <w:rsid w:val="002E0845"/>
    <w:rsid w:val="002F733D"/>
    <w:rsid w:val="00300059"/>
    <w:rsid w:val="003018D4"/>
    <w:rsid w:val="00302E16"/>
    <w:rsid w:val="0030428C"/>
    <w:rsid w:val="003052C2"/>
    <w:rsid w:val="0030645C"/>
    <w:rsid w:val="003107AF"/>
    <w:rsid w:val="00311A63"/>
    <w:rsid w:val="00314B0E"/>
    <w:rsid w:val="003200A1"/>
    <w:rsid w:val="0032058F"/>
    <w:rsid w:val="00320940"/>
    <w:rsid w:val="003248E0"/>
    <w:rsid w:val="0032503D"/>
    <w:rsid w:val="0033265F"/>
    <w:rsid w:val="00336895"/>
    <w:rsid w:val="0033774E"/>
    <w:rsid w:val="00344259"/>
    <w:rsid w:val="003531F3"/>
    <w:rsid w:val="003549B9"/>
    <w:rsid w:val="00362261"/>
    <w:rsid w:val="003636F8"/>
    <w:rsid w:val="00363F06"/>
    <w:rsid w:val="0036471D"/>
    <w:rsid w:val="0037062B"/>
    <w:rsid w:val="003746B6"/>
    <w:rsid w:val="00374BC3"/>
    <w:rsid w:val="00380CC5"/>
    <w:rsid w:val="003858D7"/>
    <w:rsid w:val="0038592B"/>
    <w:rsid w:val="00390AE2"/>
    <w:rsid w:val="0039217E"/>
    <w:rsid w:val="003930D8"/>
    <w:rsid w:val="003942B5"/>
    <w:rsid w:val="00394A6A"/>
    <w:rsid w:val="003A0589"/>
    <w:rsid w:val="003A2A05"/>
    <w:rsid w:val="003A5511"/>
    <w:rsid w:val="003B27D4"/>
    <w:rsid w:val="003B3792"/>
    <w:rsid w:val="003B60FC"/>
    <w:rsid w:val="003B69B3"/>
    <w:rsid w:val="003B6CCF"/>
    <w:rsid w:val="003C0FAF"/>
    <w:rsid w:val="003D242E"/>
    <w:rsid w:val="003D4007"/>
    <w:rsid w:val="003D5694"/>
    <w:rsid w:val="003D575B"/>
    <w:rsid w:val="003D71A3"/>
    <w:rsid w:val="003E426F"/>
    <w:rsid w:val="003E569B"/>
    <w:rsid w:val="003E73EB"/>
    <w:rsid w:val="003E7F68"/>
    <w:rsid w:val="003F00DA"/>
    <w:rsid w:val="003F2A90"/>
    <w:rsid w:val="003F31E3"/>
    <w:rsid w:val="003F6177"/>
    <w:rsid w:val="003F6992"/>
    <w:rsid w:val="00404A24"/>
    <w:rsid w:val="004101E2"/>
    <w:rsid w:val="00410C5A"/>
    <w:rsid w:val="004148B6"/>
    <w:rsid w:val="0042330D"/>
    <w:rsid w:val="00426B98"/>
    <w:rsid w:val="0043012D"/>
    <w:rsid w:val="004358E7"/>
    <w:rsid w:val="00446B76"/>
    <w:rsid w:val="00447ED9"/>
    <w:rsid w:val="004510EB"/>
    <w:rsid w:val="00452BF5"/>
    <w:rsid w:val="00452DDF"/>
    <w:rsid w:val="00453466"/>
    <w:rsid w:val="00454710"/>
    <w:rsid w:val="00455B6E"/>
    <w:rsid w:val="0045776F"/>
    <w:rsid w:val="00463F38"/>
    <w:rsid w:val="0047368C"/>
    <w:rsid w:val="00473E8E"/>
    <w:rsid w:val="00475431"/>
    <w:rsid w:val="00484726"/>
    <w:rsid w:val="00486980"/>
    <w:rsid w:val="00490862"/>
    <w:rsid w:val="004908AE"/>
    <w:rsid w:val="00492123"/>
    <w:rsid w:val="004946AC"/>
    <w:rsid w:val="004952FE"/>
    <w:rsid w:val="004A0DD6"/>
    <w:rsid w:val="004A2AA9"/>
    <w:rsid w:val="004B7332"/>
    <w:rsid w:val="004C0163"/>
    <w:rsid w:val="004C20D3"/>
    <w:rsid w:val="004C2684"/>
    <w:rsid w:val="004C3473"/>
    <w:rsid w:val="004C4387"/>
    <w:rsid w:val="004C4783"/>
    <w:rsid w:val="004C5EC5"/>
    <w:rsid w:val="004D5C83"/>
    <w:rsid w:val="004D66EB"/>
    <w:rsid w:val="004E1860"/>
    <w:rsid w:val="004E1C08"/>
    <w:rsid w:val="004E56C4"/>
    <w:rsid w:val="004E6CC8"/>
    <w:rsid w:val="004F1C74"/>
    <w:rsid w:val="004F21D5"/>
    <w:rsid w:val="004F2DA6"/>
    <w:rsid w:val="004F311A"/>
    <w:rsid w:val="004F51CA"/>
    <w:rsid w:val="004F689E"/>
    <w:rsid w:val="004F6E90"/>
    <w:rsid w:val="0051129D"/>
    <w:rsid w:val="00515250"/>
    <w:rsid w:val="00516804"/>
    <w:rsid w:val="005171AB"/>
    <w:rsid w:val="005179E6"/>
    <w:rsid w:val="0052220C"/>
    <w:rsid w:val="00522C14"/>
    <w:rsid w:val="0053061E"/>
    <w:rsid w:val="00533BEF"/>
    <w:rsid w:val="00533DC0"/>
    <w:rsid w:val="00534020"/>
    <w:rsid w:val="00535DC8"/>
    <w:rsid w:val="0054101E"/>
    <w:rsid w:val="00541DFE"/>
    <w:rsid w:val="00546459"/>
    <w:rsid w:val="005545D3"/>
    <w:rsid w:val="005633A2"/>
    <w:rsid w:val="00564DA1"/>
    <w:rsid w:val="00566DA5"/>
    <w:rsid w:val="00571635"/>
    <w:rsid w:val="00581837"/>
    <w:rsid w:val="00585F81"/>
    <w:rsid w:val="00591B44"/>
    <w:rsid w:val="00592166"/>
    <w:rsid w:val="005937DC"/>
    <w:rsid w:val="0059396A"/>
    <w:rsid w:val="00593BDB"/>
    <w:rsid w:val="0059411B"/>
    <w:rsid w:val="005A1F49"/>
    <w:rsid w:val="005A300B"/>
    <w:rsid w:val="005A362D"/>
    <w:rsid w:val="005A39CD"/>
    <w:rsid w:val="005A45C2"/>
    <w:rsid w:val="005B2123"/>
    <w:rsid w:val="005B4D8A"/>
    <w:rsid w:val="005B5852"/>
    <w:rsid w:val="005B59C5"/>
    <w:rsid w:val="005C07DA"/>
    <w:rsid w:val="005C1D4D"/>
    <w:rsid w:val="005C24A0"/>
    <w:rsid w:val="005C30F0"/>
    <w:rsid w:val="005C40FF"/>
    <w:rsid w:val="005C4B54"/>
    <w:rsid w:val="005C6C0B"/>
    <w:rsid w:val="005D0C13"/>
    <w:rsid w:val="005D1B23"/>
    <w:rsid w:val="005D61FB"/>
    <w:rsid w:val="005E5642"/>
    <w:rsid w:val="005E5F95"/>
    <w:rsid w:val="005E6E09"/>
    <w:rsid w:val="005E7ECC"/>
    <w:rsid w:val="005F44C8"/>
    <w:rsid w:val="00604471"/>
    <w:rsid w:val="006107BB"/>
    <w:rsid w:val="00611CC2"/>
    <w:rsid w:val="00611D6D"/>
    <w:rsid w:val="0062238B"/>
    <w:rsid w:val="00623793"/>
    <w:rsid w:val="0062604F"/>
    <w:rsid w:val="00626921"/>
    <w:rsid w:val="00630559"/>
    <w:rsid w:val="00631B8A"/>
    <w:rsid w:val="006336EE"/>
    <w:rsid w:val="00642D2E"/>
    <w:rsid w:val="006530B0"/>
    <w:rsid w:val="006558A2"/>
    <w:rsid w:val="006609B0"/>
    <w:rsid w:val="006649A3"/>
    <w:rsid w:val="006706C5"/>
    <w:rsid w:val="00673BD3"/>
    <w:rsid w:val="006749F1"/>
    <w:rsid w:val="00675D46"/>
    <w:rsid w:val="00682FA8"/>
    <w:rsid w:val="0068450C"/>
    <w:rsid w:val="00685DA1"/>
    <w:rsid w:val="006903D6"/>
    <w:rsid w:val="006A37D8"/>
    <w:rsid w:val="006A3A24"/>
    <w:rsid w:val="006B289B"/>
    <w:rsid w:val="006B2BC2"/>
    <w:rsid w:val="006B2DBD"/>
    <w:rsid w:val="006B7E09"/>
    <w:rsid w:val="006D0405"/>
    <w:rsid w:val="006D07D8"/>
    <w:rsid w:val="006D1151"/>
    <w:rsid w:val="006E4658"/>
    <w:rsid w:val="006F31BB"/>
    <w:rsid w:val="006F46BC"/>
    <w:rsid w:val="006F6388"/>
    <w:rsid w:val="006F7391"/>
    <w:rsid w:val="007020B6"/>
    <w:rsid w:val="007074F6"/>
    <w:rsid w:val="00707A18"/>
    <w:rsid w:val="00715195"/>
    <w:rsid w:val="00715EDD"/>
    <w:rsid w:val="00723395"/>
    <w:rsid w:val="007241EC"/>
    <w:rsid w:val="00725813"/>
    <w:rsid w:val="00732ABD"/>
    <w:rsid w:val="0073424A"/>
    <w:rsid w:val="00742681"/>
    <w:rsid w:val="007427D4"/>
    <w:rsid w:val="00743172"/>
    <w:rsid w:val="00747C3C"/>
    <w:rsid w:val="007533CD"/>
    <w:rsid w:val="007542BA"/>
    <w:rsid w:val="00754957"/>
    <w:rsid w:val="00754A8B"/>
    <w:rsid w:val="00760588"/>
    <w:rsid w:val="00761193"/>
    <w:rsid w:val="00761A23"/>
    <w:rsid w:val="00761D91"/>
    <w:rsid w:val="007622DE"/>
    <w:rsid w:val="00762A49"/>
    <w:rsid w:val="007641A3"/>
    <w:rsid w:val="0076796D"/>
    <w:rsid w:val="0076799E"/>
    <w:rsid w:val="00770CB7"/>
    <w:rsid w:val="007723AD"/>
    <w:rsid w:val="00775B7B"/>
    <w:rsid w:val="007775F6"/>
    <w:rsid w:val="00780AC7"/>
    <w:rsid w:val="00782DFD"/>
    <w:rsid w:val="00785464"/>
    <w:rsid w:val="0079372D"/>
    <w:rsid w:val="00795706"/>
    <w:rsid w:val="007964FF"/>
    <w:rsid w:val="007A6C4C"/>
    <w:rsid w:val="007B3C77"/>
    <w:rsid w:val="007C1D74"/>
    <w:rsid w:val="007D3420"/>
    <w:rsid w:val="007D62C2"/>
    <w:rsid w:val="007D6F0B"/>
    <w:rsid w:val="007E2824"/>
    <w:rsid w:val="007E2A09"/>
    <w:rsid w:val="007F0F24"/>
    <w:rsid w:val="007F1D2F"/>
    <w:rsid w:val="007F322B"/>
    <w:rsid w:val="007F4260"/>
    <w:rsid w:val="007F439D"/>
    <w:rsid w:val="008003C2"/>
    <w:rsid w:val="00806C4E"/>
    <w:rsid w:val="008072D8"/>
    <w:rsid w:val="00814515"/>
    <w:rsid w:val="00814C8A"/>
    <w:rsid w:val="00816109"/>
    <w:rsid w:val="00824B2F"/>
    <w:rsid w:val="0083272B"/>
    <w:rsid w:val="00843666"/>
    <w:rsid w:val="00844C31"/>
    <w:rsid w:val="008450CD"/>
    <w:rsid w:val="00845AE4"/>
    <w:rsid w:val="00851C1A"/>
    <w:rsid w:val="0085469F"/>
    <w:rsid w:val="00855958"/>
    <w:rsid w:val="00860A32"/>
    <w:rsid w:val="00862AE9"/>
    <w:rsid w:val="00870A2D"/>
    <w:rsid w:val="008712C3"/>
    <w:rsid w:val="00874330"/>
    <w:rsid w:val="00885E65"/>
    <w:rsid w:val="00885FC1"/>
    <w:rsid w:val="00886130"/>
    <w:rsid w:val="008901BE"/>
    <w:rsid w:val="008943A0"/>
    <w:rsid w:val="00895213"/>
    <w:rsid w:val="00897127"/>
    <w:rsid w:val="008A107E"/>
    <w:rsid w:val="008A51AF"/>
    <w:rsid w:val="008A5591"/>
    <w:rsid w:val="008B74E9"/>
    <w:rsid w:val="008C3369"/>
    <w:rsid w:val="008C4554"/>
    <w:rsid w:val="008C787C"/>
    <w:rsid w:val="008D08BC"/>
    <w:rsid w:val="008D1F2B"/>
    <w:rsid w:val="008D22CB"/>
    <w:rsid w:val="008D3749"/>
    <w:rsid w:val="008D40EC"/>
    <w:rsid w:val="008E200F"/>
    <w:rsid w:val="008E3FE5"/>
    <w:rsid w:val="008E7EBE"/>
    <w:rsid w:val="008F06B9"/>
    <w:rsid w:val="008F0FE7"/>
    <w:rsid w:val="008F163E"/>
    <w:rsid w:val="008F2CAF"/>
    <w:rsid w:val="008F39E9"/>
    <w:rsid w:val="008F3D63"/>
    <w:rsid w:val="008F493D"/>
    <w:rsid w:val="008F5A0C"/>
    <w:rsid w:val="008F5A55"/>
    <w:rsid w:val="008F5FC5"/>
    <w:rsid w:val="00905523"/>
    <w:rsid w:val="00906581"/>
    <w:rsid w:val="0091081C"/>
    <w:rsid w:val="009129D2"/>
    <w:rsid w:val="00913A69"/>
    <w:rsid w:val="00923731"/>
    <w:rsid w:val="00924710"/>
    <w:rsid w:val="00926730"/>
    <w:rsid w:val="0093156D"/>
    <w:rsid w:val="0093530E"/>
    <w:rsid w:val="00936FD6"/>
    <w:rsid w:val="0093713C"/>
    <w:rsid w:val="00940E37"/>
    <w:rsid w:val="00941A42"/>
    <w:rsid w:val="00944898"/>
    <w:rsid w:val="0094506A"/>
    <w:rsid w:val="00946590"/>
    <w:rsid w:val="009471C6"/>
    <w:rsid w:val="009502A1"/>
    <w:rsid w:val="009509C6"/>
    <w:rsid w:val="00960019"/>
    <w:rsid w:val="00960125"/>
    <w:rsid w:val="00963FAD"/>
    <w:rsid w:val="0097182C"/>
    <w:rsid w:val="00972D9F"/>
    <w:rsid w:val="009823C0"/>
    <w:rsid w:val="00982727"/>
    <w:rsid w:val="009833A8"/>
    <w:rsid w:val="0099241E"/>
    <w:rsid w:val="00993D4F"/>
    <w:rsid w:val="00993E30"/>
    <w:rsid w:val="009A5FEA"/>
    <w:rsid w:val="009A79D5"/>
    <w:rsid w:val="009B4047"/>
    <w:rsid w:val="009B4A9E"/>
    <w:rsid w:val="009C6148"/>
    <w:rsid w:val="009D03F3"/>
    <w:rsid w:val="009D3282"/>
    <w:rsid w:val="009D39C8"/>
    <w:rsid w:val="009D6211"/>
    <w:rsid w:val="009D64E1"/>
    <w:rsid w:val="009D6BB4"/>
    <w:rsid w:val="009E20BF"/>
    <w:rsid w:val="009E60EC"/>
    <w:rsid w:val="009E734A"/>
    <w:rsid w:val="009E74F5"/>
    <w:rsid w:val="009F57E4"/>
    <w:rsid w:val="00A01DF8"/>
    <w:rsid w:val="00A03FA6"/>
    <w:rsid w:val="00A0743C"/>
    <w:rsid w:val="00A07E36"/>
    <w:rsid w:val="00A10E03"/>
    <w:rsid w:val="00A12D11"/>
    <w:rsid w:val="00A14AFF"/>
    <w:rsid w:val="00A20383"/>
    <w:rsid w:val="00A2795D"/>
    <w:rsid w:val="00A32BF8"/>
    <w:rsid w:val="00A33DDC"/>
    <w:rsid w:val="00A36A74"/>
    <w:rsid w:val="00A50F35"/>
    <w:rsid w:val="00A55DA6"/>
    <w:rsid w:val="00A55DC7"/>
    <w:rsid w:val="00A60191"/>
    <w:rsid w:val="00A64342"/>
    <w:rsid w:val="00A666C3"/>
    <w:rsid w:val="00A6703B"/>
    <w:rsid w:val="00A746A5"/>
    <w:rsid w:val="00A81A91"/>
    <w:rsid w:val="00A8260C"/>
    <w:rsid w:val="00A83F3A"/>
    <w:rsid w:val="00A87592"/>
    <w:rsid w:val="00A878F9"/>
    <w:rsid w:val="00A93E7A"/>
    <w:rsid w:val="00A975D6"/>
    <w:rsid w:val="00AA06E5"/>
    <w:rsid w:val="00AA5E5B"/>
    <w:rsid w:val="00AB3B7F"/>
    <w:rsid w:val="00AB3D50"/>
    <w:rsid w:val="00AC0C9E"/>
    <w:rsid w:val="00AC2C55"/>
    <w:rsid w:val="00AC3CED"/>
    <w:rsid w:val="00AC428A"/>
    <w:rsid w:val="00AC5C4F"/>
    <w:rsid w:val="00AD0843"/>
    <w:rsid w:val="00AD0ACC"/>
    <w:rsid w:val="00AD1BA9"/>
    <w:rsid w:val="00AD420D"/>
    <w:rsid w:val="00AD5BB2"/>
    <w:rsid w:val="00AD5DE1"/>
    <w:rsid w:val="00AE11AE"/>
    <w:rsid w:val="00AF2B5D"/>
    <w:rsid w:val="00AF64D6"/>
    <w:rsid w:val="00B0443B"/>
    <w:rsid w:val="00B1720A"/>
    <w:rsid w:val="00B204FE"/>
    <w:rsid w:val="00B20FBF"/>
    <w:rsid w:val="00B22D7A"/>
    <w:rsid w:val="00B23458"/>
    <w:rsid w:val="00B25FE1"/>
    <w:rsid w:val="00B26275"/>
    <w:rsid w:val="00B344F2"/>
    <w:rsid w:val="00B35FD7"/>
    <w:rsid w:val="00B40774"/>
    <w:rsid w:val="00B43B9F"/>
    <w:rsid w:val="00B4799D"/>
    <w:rsid w:val="00B5240B"/>
    <w:rsid w:val="00B52A7C"/>
    <w:rsid w:val="00B53C39"/>
    <w:rsid w:val="00B5759E"/>
    <w:rsid w:val="00B5779E"/>
    <w:rsid w:val="00B67F6E"/>
    <w:rsid w:val="00B718E1"/>
    <w:rsid w:val="00B751C4"/>
    <w:rsid w:val="00B84BE1"/>
    <w:rsid w:val="00B84E3C"/>
    <w:rsid w:val="00B853B5"/>
    <w:rsid w:val="00B85D9B"/>
    <w:rsid w:val="00B8777E"/>
    <w:rsid w:val="00B87981"/>
    <w:rsid w:val="00B94E7A"/>
    <w:rsid w:val="00B956CD"/>
    <w:rsid w:val="00B978CB"/>
    <w:rsid w:val="00BA4E0E"/>
    <w:rsid w:val="00BA7744"/>
    <w:rsid w:val="00BA78E7"/>
    <w:rsid w:val="00BB269F"/>
    <w:rsid w:val="00BB3B1E"/>
    <w:rsid w:val="00BB5891"/>
    <w:rsid w:val="00BC2A56"/>
    <w:rsid w:val="00BC2E6A"/>
    <w:rsid w:val="00BD06EC"/>
    <w:rsid w:val="00BD2A3E"/>
    <w:rsid w:val="00BD55DE"/>
    <w:rsid w:val="00BD7575"/>
    <w:rsid w:val="00BE3BF1"/>
    <w:rsid w:val="00BE648A"/>
    <w:rsid w:val="00BE6D28"/>
    <w:rsid w:val="00BF259F"/>
    <w:rsid w:val="00C00DD4"/>
    <w:rsid w:val="00C0395F"/>
    <w:rsid w:val="00C07E56"/>
    <w:rsid w:val="00C1065A"/>
    <w:rsid w:val="00C144E4"/>
    <w:rsid w:val="00C15906"/>
    <w:rsid w:val="00C1730B"/>
    <w:rsid w:val="00C207C3"/>
    <w:rsid w:val="00C2256D"/>
    <w:rsid w:val="00C30B0D"/>
    <w:rsid w:val="00C30C82"/>
    <w:rsid w:val="00C32AC5"/>
    <w:rsid w:val="00C4341A"/>
    <w:rsid w:val="00C46003"/>
    <w:rsid w:val="00C46033"/>
    <w:rsid w:val="00C53523"/>
    <w:rsid w:val="00C55448"/>
    <w:rsid w:val="00C61F44"/>
    <w:rsid w:val="00C633DC"/>
    <w:rsid w:val="00C67D75"/>
    <w:rsid w:val="00C67F4B"/>
    <w:rsid w:val="00C703F6"/>
    <w:rsid w:val="00C72CB0"/>
    <w:rsid w:val="00C73074"/>
    <w:rsid w:val="00C823D8"/>
    <w:rsid w:val="00C832D6"/>
    <w:rsid w:val="00C85384"/>
    <w:rsid w:val="00C85440"/>
    <w:rsid w:val="00C85C82"/>
    <w:rsid w:val="00C9087F"/>
    <w:rsid w:val="00C9538E"/>
    <w:rsid w:val="00C95531"/>
    <w:rsid w:val="00C95C3F"/>
    <w:rsid w:val="00CA0219"/>
    <w:rsid w:val="00CA3B09"/>
    <w:rsid w:val="00CA3EA9"/>
    <w:rsid w:val="00CA4AA9"/>
    <w:rsid w:val="00CA6C15"/>
    <w:rsid w:val="00CA6C78"/>
    <w:rsid w:val="00CB0674"/>
    <w:rsid w:val="00CB16CC"/>
    <w:rsid w:val="00CB1BDF"/>
    <w:rsid w:val="00CB59E7"/>
    <w:rsid w:val="00CB6A9E"/>
    <w:rsid w:val="00CC599F"/>
    <w:rsid w:val="00CD0272"/>
    <w:rsid w:val="00CE3F1C"/>
    <w:rsid w:val="00CE6869"/>
    <w:rsid w:val="00CE6E5A"/>
    <w:rsid w:val="00CE7D83"/>
    <w:rsid w:val="00CF002C"/>
    <w:rsid w:val="00CF138C"/>
    <w:rsid w:val="00CF1745"/>
    <w:rsid w:val="00CF3D73"/>
    <w:rsid w:val="00CF4689"/>
    <w:rsid w:val="00CF78AF"/>
    <w:rsid w:val="00D1237F"/>
    <w:rsid w:val="00D13CA1"/>
    <w:rsid w:val="00D23D90"/>
    <w:rsid w:val="00D30C0B"/>
    <w:rsid w:val="00D352CC"/>
    <w:rsid w:val="00D400E3"/>
    <w:rsid w:val="00D425CB"/>
    <w:rsid w:val="00D433A7"/>
    <w:rsid w:val="00D45C47"/>
    <w:rsid w:val="00D57279"/>
    <w:rsid w:val="00D7041D"/>
    <w:rsid w:val="00D70EDD"/>
    <w:rsid w:val="00D712D7"/>
    <w:rsid w:val="00D7143A"/>
    <w:rsid w:val="00D71567"/>
    <w:rsid w:val="00D85772"/>
    <w:rsid w:val="00D9142B"/>
    <w:rsid w:val="00D94B39"/>
    <w:rsid w:val="00DA21E1"/>
    <w:rsid w:val="00DA40D9"/>
    <w:rsid w:val="00DA600E"/>
    <w:rsid w:val="00DB353D"/>
    <w:rsid w:val="00DB7422"/>
    <w:rsid w:val="00DB7C74"/>
    <w:rsid w:val="00DC2871"/>
    <w:rsid w:val="00DC39D2"/>
    <w:rsid w:val="00DC3A7F"/>
    <w:rsid w:val="00DC5A67"/>
    <w:rsid w:val="00DC62D7"/>
    <w:rsid w:val="00DD0576"/>
    <w:rsid w:val="00DD2D56"/>
    <w:rsid w:val="00DD7621"/>
    <w:rsid w:val="00DE138A"/>
    <w:rsid w:val="00DE3AC7"/>
    <w:rsid w:val="00DE4DEC"/>
    <w:rsid w:val="00DF1CC2"/>
    <w:rsid w:val="00E001DD"/>
    <w:rsid w:val="00E040E9"/>
    <w:rsid w:val="00E11226"/>
    <w:rsid w:val="00E13779"/>
    <w:rsid w:val="00E146C4"/>
    <w:rsid w:val="00E15CB3"/>
    <w:rsid w:val="00E17DF8"/>
    <w:rsid w:val="00E26A94"/>
    <w:rsid w:val="00E26AAC"/>
    <w:rsid w:val="00E308B4"/>
    <w:rsid w:val="00E35C59"/>
    <w:rsid w:val="00E37029"/>
    <w:rsid w:val="00E37D6E"/>
    <w:rsid w:val="00E44352"/>
    <w:rsid w:val="00E46BBF"/>
    <w:rsid w:val="00E54254"/>
    <w:rsid w:val="00E614BF"/>
    <w:rsid w:val="00E632D6"/>
    <w:rsid w:val="00E66B8C"/>
    <w:rsid w:val="00E722FE"/>
    <w:rsid w:val="00E73057"/>
    <w:rsid w:val="00E74647"/>
    <w:rsid w:val="00E74A52"/>
    <w:rsid w:val="00E76755"/>
    <w:rsid w:val="00E767E8"/>
    <w:rsid w:val="00E7732C"/>
    <w:rsid w:val="00E838C2"/>
    <w:rsid w:val="00E843C0"/>
    <w:rsid w:val="00E85CE8"/>
    <w:rsid w:val="00E91612"/>
    <w:rsid w:val="00E92212"/>
    <w:rsid w:val="00EA4319"/>
    <w:rsid w:val="00EB005B"/>
    <w:rsid w:val="00EB2780"/>
    <w:rsid w:val="00EB4D62"/>
    <w:rsid w:val="00EB761A"/>
    <w:rsid w:val="00EC27F6"/>
    <w:rsid w:val="00EC6ADD"/>
    <w:rsid w:val="00ED0D68"/>
    <w:rsid w:val="00ED3EE0"/>
    <w:rsid w:val="00EE5AE2"/>
    <w:rsid w:val="00EE63F6"/>
    <w:rsid w:val="00EE6E03"/>
    <w:rsid w:val="00EE75E6"/>
    <w:rsid w:val="00EF1C8C"/>
    <w:rsid w:val="00EF620D"/>
    <w:rsid w:val="00EF750D"/>
    <w:rsid w:val="00F06F86"/>
    <w:rsid w:val="00F12DBA"/>
    <w:rsid w:val="00F13A19"/>
    <w:rsid w:val="00F13B2B"/>
    <w:rsid w:val="00F16697"/>
    <w:rsid w:val="00F17237"/>
    <w:rsid w:val="00F273B5"/>
    <w:rsid w:val="00F27AC4"/>
    <w:rsid w:val="00F27EC6"/>
    <w:rsid w:val="00F36746"/>
    <w:rsid w:val="00F45D76"/>
    <w:rsid w:val="00F4689F"/>
    <w:rsid w:val="00F55F84"/>
    <w:rsid w:val="00F60387"/>
    <w:rsid w:val="00F6203C"/>
    <w:rsid w:val="00F62DCA"/>
    <w:rsid w:val="00F635AF"/>
    <w:rsid w:val="00F6443A"/>
    <w:rsid w:val="00F67823"/>
    <w:rsid w:val="00F84134"/>
    <w:rsid w:val="00F92F56"/>
    <w:rsid w:val="00FA2249"/>
    <w:rsid w:val="00FA7B17"/>
    <w:rsid w:val="00FA7F47"/>
    <w:rsid w:val="00FB5D41"/>
    <w:rsid w:val="00FB6B81"/>
    <w:rsid w:val="00FC5F96"/>
    <w:rsid w:val="00FC6BF3"/>
    <w:rsid w:val="00FE0EDB"/>
    <w:rsid w:val="00FE3175"/>
    <w:rsid w:val="00FE32BC"/>
    <w:rsid w:val="00FE35F9"/>
    <w:rsid w:val="00FF1FE9"/>
  </w:rsids>
  <m:mathPr>
    <m:mathFont m:val="Cambria Math"/>
    <m:brkBin m:val="before"/>
    <m:brkBinSub m:val="--"/>
    <m:smallFrac m:val="0"/>
    <m:dispDef/>
    <m:lMargin m:val="0"/>
    <m:rMargin m:val="0"/>
    <m:defJc m:val="centerGroup"/>
    <m:wrapIndent m:val="1440"/>
    <m:intLim m:val="subSup"/>
    <m:naryLim m:val="undOvr"/>
  </m:mathPr>
  <w:themeFontLang w:val="es-C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3199E"/>
  <w15:docId w15:val="{8563DE3C-FBCE-4726-A121-BECA516F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0FC"/>
  </w:style>
  <w:style w:type="paragraph" w:styleId="Ttulo1">
    <w:name w:val="heading 1"/>
    <w:basedOn w:val="Normal"/>
    <w:next w:val="Normal"/>
    <w:link w:val="Ttulo1Car"/>
    <w:qFormat/>
    <w:rsid w:val="00E40E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E40E2A"/>
    <w:pPr>
      <w:keepNext/>
      <w:tabs>
        <w:tab w:val="left" w:pos="-720"/>
      </w:tabs>
      <w:suppressAutoHyphens/>
      <w:spacing w:after="0" w:line="240" w:lineRule="auto"/>
      <w:outlineLvl w:val="1"/>
    </w:pPr>
    <w:rPr>
      <w:rFonts w:ascii="Times New Roman" w:eastAsia="Arial Unicode MS" w:hAnsi="Times New Roman" w:cs="Times New Roman"/>
      <w:b/>
      <w:color w:val="000000"/>
      <w:sz w:val="24"/>
      <w:szCs w:val="20"/>
      <w:lang w:val="es-ES_tradnl"/>
    </w:rPr>
  </w:style>
  <w:style w:type="paragraph" w:styleId="Ttulo3">
    <w:name w:val="heading 3"/>
    <w:basedOn w:val="Normal"/>
    <w:next w:val="Normal"/>
    <w:link w:val="Ttulo3Car"/>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unhideWhenUsed/>
    <w:qFormat/>
    <w:pPr>
      <w:keepNext/>
      <w:keepLines/>
      <w:spacing w:before="220" w:after="40"/>
      <w:outlineLvl w:val="4"/>
    </w:pPr>
    <w:rPr>
      <w:b/>
    </w:rPr>
  </w:style>
  <w:style w:type="paragraph" w:styleId="Ttulo6">
    <w:name w:val="heading 6"/>
    <w:basedOn w:val="Normal"/>
    <w:next w:val="Normal"/>
    <w:link w:val="Ttulo6Car"/>
    <w:uiPriority w:val="9"/>
    <w:unhideWhenUsed/>
    <w:qFormat/>
    <w:pPr>
      <w:keepNext/>
      <w:keepLines/>
      <w:spacing w:before="200" w:after="40"/>
      <w:outlineLvl w:val="5"/>
    </w:pPr>
    <w:rPr>
      <w:b/>
      <w:sz w:val="20"/>
      <w:szCs w:val="20"/>
    </w:rPr>
  </w:style>
  <w:style w:type="paragraph" w:styleId="Ttulo7">
    <w:name w:val="heading 7"/>
    <w:basedOn w:val="Normal"/>
    <w:next w:val="Normal"/>
    <w:link w:val="Ttulo7Car"/>
    <w:semiHidden/>
    <w:unhideWhenUsed/>
    <w:qFormat/>
    <w:rsid w:val="00F27AC4"/>
    <w:pPr>
      <w:keepNext/>
      <w:keepLines/>
      <w:spacing w:before="40" w:after="0" w:line="240" w:lineRule="auto"/>
      <w:outlineLvl w:val="6"/>
    </w:pPr>
    <w:rPr>
      <w:rFonts w:ascii="Courier New" w:eastAsiaTheme="majorEastAsia" w:hAnsi="Courier New" w:cstheme="majorBidi"/>
      <w:color w:val="595959" w:themeColor="text1" w:themeTint="A6"/>
      <w:sz w:val="20"/>
      <w:szCs w:val="20"/>
      <w:lang w:val="es-ES_tradnl" w:eastAsia="es-ES"/>
    </w:rPr>
  </w:style>
  <w:style w:type="paragraph" w:styleId="Ttulo8">
    <w:name w:val="heading 8"/>
    <w:basedOn w:val="Normal"/>
    <w:next w:val="Normal"/>
    <w:link w:val="Ttulo8Car"/>
    <w:semiHidden/>
    <w:unhideWhenUsed/>
    <w:qFormat/>
    <w:rsid w:val="00F27AC4"/>
    <w:pPr>
      <w:keepNext/>
      <w:keepLines/>
      <w:spacing w:after="0" w:line="240" w:lineRule="auto"/>
      <w:outlineLvl w:val="7"/>
    </w:pPr>
    <w:rPr>
      <w:rFonts w:ascii="Courier New" w:eastAsiaTheme="majorEastAsia" w:hAnsi="Courier New" w:cstheme="majorBidi"/>
      <w:i/>
      <w:iCs/>
      <w:color w:val="272727" w:themeColor="text1" w:themeTint="D8"/>
      <w:sz w:val="20"/>
      <w:szCs w:val="20"/>
      <w:lang w:val="es-ES_tradnl" w:eastAsia="es-ES"/>
    </w:rPr>
  </w:style>
  <w:style w:type="paragraph" w:styleId="Ttulo9">
    <w:name w:val="heading 9"/>
    <w:basedOn w:val="Normal"/>
    <w:next w:val="Normal"/>
    <w:link w:val="Ttulo9Car"/>
    <w:qFormat/>
    <w:rsid w:val="003D71A3"/>
    <w:pPr>
      <w:suppressAutoHyphens/>
      <w:spacing w:before="240" w:after="60" w:line="240" w:lineRule="auto"/>
      <w:outlineLvl w:val="8"/>
    </w:pPr>
    <w:rPr>
      <w:rFonts w:ascii="Cambria" w:eastAsia="Times New Roman" w:hAnsi="Cambria" w:cs="Times New Roman"/>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character" w:customStyle="1" w:styleId="Ttulo1Car">
    <w:name w:val="Título 1 Car"/>
    <w:basedOn w:val="Fuentedeprrafopredeter"/>
    <w:link w:val="Ttulo1"/>
    <w:rsid w:val="00E40E2A"/>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E40E2A"/>
    <w:rPr>
      <w:rFonts w:ascii="Times New Roman" w:eastAsia="Arial Unicode MS" w:hAnsi="Times New Roman" w:cs="Times New Roman"/>
      <w:b/>
      <w:color w:val="000000"/>
      <w:sz w:val="24"/>
      <w:szCs w:val="20"/>
      <w:lang w:val="es-ES_tradnl" w:eastAsia="es-ES"/>
    </w:rPr>
  </w:style>
  <w:style w:type="paragraph" w:styleId="Textoindependiente">
    <w:name w:val="Body Text"/>
    <w:basedOn w:val="Normal"/>
    <w:link w:val="TextoindependienteCar"/>
    <w:unhideWhenUsed/>
    <w:rsid w:val="00E40E2A"/>
    <w:pPr>
      <w:spacing w:after="120" w:line="240" w:lineRule="auto"/>
    </w:pPr>
    <w:rPr>
      <w:rFonts w:ascii="Arial" w:eastAsia="Times New Roman" w:hAnsi="Arial" w:cs="Times New Roman"/>
      <w:sz w:val="24"/>
      <w:szCs w:val="24"/>
    </w:rPr>
  </w:style>
  <w:style w:type="character" w:customStyle="1" w:styleId="TextoindependienteCar">
    <w:name w:val="Texto independiente Car"/>
    <w:basedOn w:val="Fuentedeprrafopredeter"/>
    <w:link w:val="Textoindependiente"/>
    <w:rsid w:val="00E40E2A"/>
    <w:rPr>
      <w:rFonts w:ascii="Arial" w:eastAsia="Times New Roman" w:hAnsi="Arial" w:cs="Times New Roman"/>
      <w:sz w:val="24"/>
      <w:szCs w:val="24"/>
      <w:lang w:eastAsia="es-ES"/>
    </w:rPr>
  </w:style>
  <w:style w:type="paragraph" w:styleId="Encabezado">
    <w:name w:val="header"/>
    <w:basedOn w:val="Normal"/>
    <w:link w:val="EncabezadoCar"/>
    <w:unhideWhenUsed/>
    <w:rsid w:val="00E40E2A"/>
    <w:pPr>
      <w:tabs>
        <w:tab w:val="center" w:pos="4419"/>
        <w:tab w:val="right" w:pos="8838"/>
      </w:tabs>
      <w:spacing w:after="0" w:line="240" w:lineRule="auto"/>
    </w:pPr>
  </w:style>
  <w:style w:type="character" w:customStyle="1" w:styleId="EncabezadoCar">
    <w:name w:val="Encabezado Car"/>
    <w:basedOn w:val="Fuentedeprrafopredeter"/>
    <w:link w:val="Encabezado"/>
    <w:rsid w:val="00E40E2A"/>
  </w:style>
  <w:style w:type="paragraph" w:styleId="Piedepgina">
    <w:name w:val="footer"/>
    <w:basedOn w:val="Normal"/>
    <w:link w:val="PiedepginaCar"/>
    <w:unhideWhenUsed/>
    <w:rsid w:val="00E40E2A"/>
    <w:pPr>
      <w:tabs>
        <w:tab w:val="center" w:pos="4419"/>
        <w:tab w:val="right" w:pos="8838"/>
      </w:tabs>
      <w:spacing w:after="0" w:line="240" w:lineRule="auto"/>
    </w:pPr>
  </w:style>
  <w:style w:type="character" w:customStyle="1" w:styleId="PiedepginaCar">
    <w:name w:val="Pie de página Car"/>
    <w:basedOn w:val="Fuentedeprrafopredeter"/>
    <w:link w:val="Piedepgina"/>
    <w:rsid w:val="00E40E2A"/>
  </w:style>
  <w:style w:type="paragraph" w:styleId="TDC1">
    <w:name w:val="toc 1"/>
    <w:basedOn w:val="Normal"/>
    <w:next w:val="Normal"/>
    <w:autoRedefine/>
    <w:uiPriority w:val="39"/>
    <w:qFormat/>
    <w:rsid w:val="00E40E2A"/>
    <w:pPr>
      <w:tabs>
        <w:tab w:val="left" w:pos="480"/>
        <w:tab w:val="right" w:leader="dot" w:pos="8830"/>
      </w:tabs>
      <w:spacing w:after="0" w:line="360" w:lineRule="auto"/>
    </w:pPr>
    <w:rPr>
      <w:rFonts w:ascii="Garamond" w:eastAsia="Times New Roman" w:hAnsi="Garamond" w:cs="Arial"/>
      <w:b/>
      <w:bCs/>
      <w:noProof/>
      <w:kern w:val="32"/>
      <w:szCs w:val="24"/>
      <w:lang w:val="es-ES_tradnl"/>
    </w:rPr>
  </w:style>
  <w:style w:type="character" w:styleId="Hipervnculo">
    <w:name w:val="Hyperlink"/>
    <w:basedOn w:val="Fuentedeprrafopredeter"/>
    <w:uiPriority w:val="99"/>
    <w:unhideWhenUsed/>
    <w:rsid w:val="00E40E2A"/>
    <w:rPr>
      <w:color w:val="0563C1" w:themeColor="hyperlink"/>
      <w:u w:val="single"/>
    </w:rPr>
  </w:style>
  <w:style w:type="paragraph" w:styleId="TtuloTDC">
    <w:name w:val="TOC Heading"/>
    <w:basedOn w:val="Ttulo1"/>
    <w:next w:val="Normal"/>
    <w:uiPriority w:val="39"/>
    <w:unhideWhenUsed/>
    <w:qFormat/>
    <w:rsid w:val="00E40E2A"/>
    <w:pPr>
      <w:spacing w:before="480" w:line="276" w:lineRule="auto"/>
      <w:outlineLvl w:val="9"/>
    </w:pPr>
    <w:rPr>
      <w:b/>
      <w:bCs/>
      <w:sz w:val="28"/>
      <w:szCs w:val="28"/>
    </w:rPr>
  </w:style>
  <w:style w:type="paragraph" w:styleId="TDC2">
    <w:name w:val="toc 2"/>
    <w:basedOn w:val="Normal"/>
    <w:next w:val="Normal"/>
    <w:autoRedefine/>
    <w:uiPriority w:val="39"/>
    <w:unhideWhenUsed/>
    <w:qFormat/>
    <w:rsid w:val="00E40E2A"/>
    <w:pPr>
      <w:spacing w:after="100" w:line="240" w:lineRule="auto"/>
      <w:ind w:left="240"/>
    </w:pPr>
    <w:rPr>
      <w:rFonts w:ascii="Arial" w:eastAsia="Times New Roman" w:hAnsi="Arial" w:cs="Times New Roman"/>
      <w:sz w:val="24"/>
      <w:szCs w:val="24"/>
    </w:rPr>
  </w:style>
  <w:style w:type="paragraph" w:styleId="Prrafodelista">
    <w:name w:val="List Paragraph"/>
    <w:aliases w:val="Bullet 1,Use Case List Paragraph,lp1,Viñetas,3"/>
    <w:basedOn w:val="Normal"/>
    <w:link w:val="PrrafodelistaCar"/>
    <w:qFormat/>
    <w:rsid w:val="00E40E2A"/>
    <w:pPr>
      <w:ind w:left="720"/>
      <w:contextualSpacing/>
    </w:pPr>
  </w:style>
  <w:style w:type="paragraph" w:customStyle="1" w:styleId="Titulo2">
    <w:name w:val="Titulo 2"/>
    <w:basedOn w:val="Ttulo2"/>
    <w:autoRedefine/>
    <w:qFormat/>
    <w:rsid w:val="00E40E2A"/>
    <w:pPr>
      <w:tabs>
        <w:tab w:val="clear" w:pos="-720"/>
      </w:tabs>
      <w:suppressAutoHyphens w:val="0"/>
      <w:mirrorIndents/>
      <w:jc w:val="both"/>
    </w:pPr>
    <w:rPr>
      <w:rFonts w:ascii="Garamond" w:eastAsia="Times New Roman" w:hAnsi="Garamond"/>
      <w:bCs/>
      <w:iCs/>
      <w:color w:val="auto"/>
      <w:szCs w:val="28"/>
    </w:rPr>
  </w:style>
  <w:style w:type="paragraph" w:styleId="Continuarlista2">
    <w:name w:val="List Continue 2"/>
    <w:basedOn w:val="Normal"/>
    <w:uiPriority w:val="99"/>
    <w:unhideWhenUsed/>
    <w:rsid w:val="00E40E2A"/>
    <w:pPr>
      <w:spacing w:after="120"/>
      <w:ind w:left="566"/>
      <w:contextualSpacing/>
    </w:pPr>
  </w:style>
  <w:style w:type="paragraph" w:styleId="Listaconvietas3">
    <w:name w:val="List Bullet 3"/>
    <w:basedOn w:val="Normal"/>
    <w:autoRedefine/>
    <w:rsid w:val="00E40E2A"/>
    <w:pPr>
      <w:numPr>
        <w:numId w:val="3"/>
      </w:numPr>
      <w:spacing w:before="120" w:after="0" w:line="240" w:lineRule="auto"/>
      <w:ind w:hanging="480"/>
      <w:jc w:val="both"/>
    </w:pPr>
    <w:rPr>
      <w:rFonts w:ascii="Arial" w:eastAsia="Times New Roman" w:hAnsi="Arial" w:cs="Arial"/>
      <w:bCs/>
      <w:sz w:val="24"/>
      <w:szCs w:val="24"/>
    </w:rPr>
  </w:style>
  <w:style w:type="paragraph" w:styleId="NormalWeb">
    <w:name w:val="Normal (Web)"/>
    <w:basedOn w:val="Normal"/>
    <w:uiPriority w:val="99"/>
    <w:rsid w:val="00E40E2A"/>
    <w:pPr>
      <w:spacing w:before="100" w:beforeAutospacing="1" w:after="100" w:afterAutospacing="1" w:line="240" w:lineRule="auto"/>
    </w:pPr>
    <w:rPr>
      <w:rFonts w:ascii="Arial Unicode MS" w:eastAsia="Arial Unicode MS" w:hAnsi="Arial Unicode MS" w:cs="Arial Unicode MS"/>
      <w:sz w:val="24"/>
      <w:szCs w:val="24"/>
      <w:lang w:val="es-ES"/>
    </w:rPr>
  </w:style>
  <w:style w:type="paragraph" w:styleId="Sangradetextonormal">
    <w:name w:val="Body Text Indent"/>
    <w:basedOn w:val="Normal"/>
    <w:link w:val="SangradetextonormalCar"/>
    <w:unhideWhenUsed/>
    <w:rsid w:val="00E40E2A"/>
    <w:pPr>
      <w:spacing w:after="120" w:line="240" w:lineRule="auto"/>
      <w:ind w:left="283"/>
    </w:pPr>
    <w:rPr>
      <w:rFonts w:ascii="Arial" w:eastAsia="Times New Roman" w:hAnsi="Arial" w:cs="Times New Roman"/>
      <w:sz w:val="24"/>
      <w:szCs w:val="24"/>
    </w:rPr>
  </w:style>
  <w:style w:type="character" w:customStyle="1" w:styleId="SangradetextonormalCar">
    <w:name w:val="Sangría de texto normal Car"/>
    <w:basedOn w:val="Fuentedeprrafopredeter"/>
    <w:link w:val="Sangradetextonormal"/>
    <w:rsid w:val="00E40E2A"/>
    <w:rPr>
      <w:rFonts w:ascii="Arial" w:eastAsia="Times New Roman" w:hAnsi="Arial" w:cs="Times New Roman"/>
      <w:sz w:val="24"/>
      <w:szCs w:val="24"/>
      <w:lang w:eastAsia="es-ES"/>
    </w:rPr>
  </w:style>
  <w:style w:type="paragraph" w:styleId="Lista3">
    <w:name w:val="List 3"/>
    <w:basedOn w:val="Normal"/>
    <w:uiPriority w:val="99"/>
    <w:unhideWhenUsed/>
    <w:rsid w:val="00E40E2A"/>
    <w:pPr>
      <w:ind w:left="849" w:hanging="283"/>
      <w:contextualSpacing/>
    </w:pPr>
  </w:style>
  <w:style w:type="paragraph" w:styleId="Textonotapie">
    <w:name w:val="footnote text"/>
    <w:basedOn w:val="Normal"/>
    <w:link w:val="TextonotapieCar"/>
    <w:uiPriority w:val="99"/>
    <w:rsid w:val="00E40E2A"/>
    <w:pPr>
      <w:spacing w:after="0" w:line="240" w:lineRule="auto"/>
    </w:pPr>
    <w:rPr>
      <w:rFonts w:ascii="Times New Roman" w:eastAsia="Times New Roman" w:hAnsi="Times New Roman" w:cs="Times New Roman"/>
      <w:sz w:val="20"/>
      <w:szCs w:val="20"/>
      <w:lang w:val="es-ES_tradnl"/>
    </w:rPr>
  </w:style>
  <w:style w:type="character" w:customStyle="1" w:styleId="TextonotapieCar">
    <w:name w:val="Texto nota pie Car"/>
    <w:basedOn w:val="Fuentedeprrafopredeter"/>
    <w:link w:val="Textonotapie"/>
    <w:uiPriority w:val="99"/>
    <w:rsid w:val="00E40E2A"/>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unhideWhenUsed/>
    <w:rsid w:val="00E40E2A"/>
    <w:rPr>
      <w:vertAlign w:val="superscript"/>
    </w:rPr>
  </w:style>
  <w:style w:type="paragraph" w:styleId="Continuarlista3">
    <w:name w:val="List Continue 3"/>
    <w:basedOn w:val="Normal"/>
    <w:uiPriority w:val="99"/>
    <w:unhideWhenUsed/>
    <w:rsid w:val="00E40E2A"/>
    <w:pPr>
      <w:spacing w:after="120" w:line="240" w:lineRule="auto"/>
      <w:ind w:left="849"/>
      <w:contextualSpacing/>
    </w:pPr>
    <w:rPr>
      <w:rFonts w:ascii="Arial" w:eastAsia="Times New Roman" w:hAnsi="Arial" w:cs="Times New Roman"/>
      <w:sz w:val="24"/>
      <w:szCs w:val="24"/>
    </w:rPr>
  </w:style>
  <w:style w:type="paragraph" w:styleId="Textoindependiente3">
    <w:name w:val="Body Text 3"/>
    <w:aliases w:val=" Car"/>
    <w:basedOn w:val="Normal"/>
    <w:link w:val="Textoindependiente3Car"/>
    <w:uiPriority w:val="99"/>
    <w:unhideWhenUsed/>
    <w:rsid w:val="00E40E2A"/>
    <w:pPr>
      <w:spacing w:after="120"/>
    </w:pPr>
    <w:rPr>
      <w:sz w:val="16"/>
      <w:szCs w:val="16"/>
    </w:rPr>
  </w:style>
  <w:style w:type="character" w:customStyle="1" w:styleId="Textoindependiente3Car">
    <w:name w:val="Texto independiente 3 Car"/>
    <w:aliases w:val=" Car Car"/>
    <w:basedOn w:val="Fuentedeprrafopredeter"/>
    <w:link w:val="Textoindependiente3"/>
    <w:uiPriority w:val="99"/>
    <w:rsid w:val="00E40E2A"/>
    <w:rPr>
      <w:sz w:val="16"/>
      <w:szCs w:val="16"/>
    </w:rPr>
  </w:style>
  <w:style w:type="paragraph" w:customStyle="1" w:styleId="Textoindependiente31">
    <w:name w:val="Texto independiente 31"/>
    <w:basedOn w:val="Normal"/>
    <w:rsid w:val="00E40E2A"/>
    <w:pPr>
      <w:tabs>
        <w:tab w:val="left" w:pos="-720"/>
        <w:tab w:val="left" w:pos="0"/>
      </w:tabs>
      <w:suppressAutoHyphens/>
      <w:spacing w:before="120" w:after="0" w:line="240" w:lineRule="auto"/>
      <w:jc w:val="both"/>
    </w:pPr>
    <w:rPr>
      <w:rFonts w:ascii="Times New Roman" w:eastAsia="Times New Roman" w:hAnsi="Times New Roman" w:cs="Times New Roman"/>
      <w:spacing w:val="-3"/>
      <w:sz w:val="24"/>
      <w:szCs w:val="20"/>
      <w:lang w:val="es-ES_tradnl" w:eastAsia="ar-SA"/>
    </w:rPr>
  </w:style>
  <w:style w:type="character" w:customStyle="1" w:styleId="TextocomentarioCar">
    <w:name w:val="Texto comentario Car"/>
    <w:basedOn w:val="Fuentedeprrafopredeter"/>
    <w:link w:val="Textocomentario"/>
    <w:uiPriority w:val="99"/>
    <w:rsid w:val="00E40E2A"/>
    <w:rPr>
      <w:sz w:val="20"/>
      <w:szCs w:val="20"/>
    </w:rPr>
  </w:style>
  <w:style w:type="paragraph" w:styleId="Textocomentario">
    <w:name w:val="annotation text"/>
    <w:basedOn w:val="Normal"/>
    <w:link w:val="TextocomentarioCar"/>
    <w:uiPriority w:val="99"/>
    <w:unhideWhenUsed/>
    <w:rsid w:val="00E40E2A"/>
    <w:pPr>
      <w:spacing w:line="240" w:lineRule="auto"/>
    </w:pPr>
    <w:rPr>
      <w:sz w:val="20"/>
      <w:szCs w:val="20"/>
    </w:rPr>
  </w:style>
  <w:style w:type="character" w:customStyle="1" w:styleId="AsuntodelcomentarioCar">
    <w:name w:val="Asunto del comentario Car"/>
    <w:basedOn w:val="TextocomentarioCar"/>
    <w:link w:val="Asuntodelcomentario"/>
    <w:uiPriority w:val="99"/>
    <w:rsid w:val="00E40E2A"/>
    <w:rPr>
      <w:b/>
      <w:bCs/>
      <w:sz w:val="20"/>
      <w:szCs w:val="20"/>
    </w:rPr>
  </w:style>
  <w:style w:type="paragraph" w:styleId="Asuntodelcomentario">
    <w:name w:val="annotation subject"/>
    <w:basedOn w:val="Textocomentario"/>
    <w:next w:val="Textocomentario"/>
    <w:link w:val="AsuntodelcomentarioCar"/>
    <w:uiPriority w:val="99"/>
    <w:unhideWhenUsed/>
    <w:rsid w:val="00E40E2A"/>
    <w:rPr>
      <w:b/>
      <w:bCs/>
    </w:rPr>
  </w:style>
  <w:style w:type="character" w:customStyle="1" w:styleId="TextodegloboCar">
    <w:name w:val="Texto de globo Car"/>
    <w:basedOn w:val="Fuentedeprrafopredeter"/>
    <w:link w:val="Textodeglobo"/>
    <w:rsid w:val="00E40E2A"/>
    <w:rPr>
      <w:rFonts w:ascii="Segoe UI" w:hAnsi="Segoe UI" w:cs="Segoe UI"/>
      <w:sz w:val="18"/>
      <w:szCs w:val="18"/>
    </w:rPr>
  </w:style>
  <w:style w:type="paragraph" w:styleId="Textodeglobo">
    <w:name w:val="Balloon Text"/>
    <w:basedOn w:val="Normal"/>
    <w:link w:val="TextodegloboCar"/>
    <w:unhideWhenUsed/>
    <w:rsid w:val="00E40E2A"/>
    <w:pPr>
      <w:spacing w:after="0" w:line="240" w:lineRule="auto"/>
    </w:pPr>
    <w:rPr>
      <w:rFonts w:ascii="Segoe UI" w:hAnsi="Segoe UI" w:cs="Segoe UI"/>
      <w:sz w:val="18"/>
      <w:szCs w:val="18"/>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70" w:type="dxa"/>
        <w:right w:w="70" w:type="dxa"/>
      </w:tblCellMar>
    </w:tblPr>
  </w:style>
  <w:style w:type="table" w:customStyle="1" w:styleId="a0">
    <w:basedOn w:val="TableNormala"/>
    <w:tblPr>
      <w:tblStyleRowBandSize w:val="1"/>
      <w:tblStyleColBandSize w:val="1"/>
      <w:tblCellMar>
        <w:left w:w="70" w:type="dxa"/>
        <w:right w:w="70" w:type="dxa"/>
      </w:tblCellMar>
    </w:tblPr>
  </w:style>
  <w:style w:type="table" w:customStyle="1" w:styleId="a1">
    <w:basedOn w:val="TableNormala"/>
    <w:tblPr>
      <w:tblStyleRowBandSize w:val="1"/>
      <w:tblStyleColBandSize w:val="1"/>
      <w:tblCellMar>
        <w:left w:w="115" w:type="dxa"/>
        <w:right w:w="115" w:type="dxa"/>
      </w:tblCellMar>
    </w:tblPr>
  </w:style>
  <w:style w:type="table" w:customStyle="1" w:styleId="a2">
    <w:basedOn w:val="TableNormala"/>
    <w:tblPr>
      <w:tblStyleRowBandSize w:val="1"/>
      <w:tblStyleColBandSize w:val="1"/>
      <w:tblCellMar>
        <w:left w:w="115" w:type="dxa"/>
        <w:right w:w="115" w:type="dxa"/>
      </w:tblCellMar>
    </w:tblPr>
  </w:style>
  <w:style w:type="table" w:customStyle="1" w:styleId="a3">
    <w:basedOn w:val="TableNormala"/>
    <w:tblPr>
      <w:tblStyleRowBandSize w:val="1"/>
      <w:tblStyleColBandSize w:val="1"/>
      <w:tblCellMar>
        <w:left w:w="115" w:type="dxa"/>
        <w:right w:w="115" w:type="dxa"/>
      </w:tblCellMar>
    </w:tblPr>
  </w:style>
  <w:style w:type="table" w:customStyle="1" w:styleId="a4">
    <w:basedOn w:val="TableNormala"/>
    <w:tblPr>
      <w:tblStyleRowBandSize w:val="1"/>
      <w:tblStyleColBandSize w:val="1"/>
      <w:tblCellMar>
        <w:left w:w="115" w:type="dxa"/>
        <w:right w:w="115" w:type="dxa"/>
      </w:tblCellMar>
    </w:tblPr>
  </w:style>
  <w:style w:type="table" w:customStyle="1" w:styleId="a5">
    <w:basedOn w:val="TableNormala"/>
    <w:tblPr>
      <w:tblStyleRowBandSize w:val="1"/>
      <w:tblStyleColBandSize w:val="1"/>
      <w:tblCellMar>
        <w:left w:w="115" w:type="dxa"/>
        <w:right w:w="115" w:type="dxa"/>
      </w:tblCellMar>
    </w:tblPr>
  </w:style>
  <w:style w:type="table" w:customStyle="1" w:styleId="a6">
    <w:basedOn w:val="TableNormala"/>
    <w:tblPr>
      <w:tblStyleRowBandSize w:val="1"/>
      <w:tblStyleColBandSize w:val="1"/>
      <w:tblCellMar>
        <w:left w:w="115" w:type="dxa"/>
        <w:right w:w="115" w:type="dxa"/>
      </w:tblCellMar>
    </w:tblPr>
  </w:style>
  <w:style w:type="table" w:customStyle="1" w:styleId="a7">
    <w:basedOn w:val="TableNormala"/>
    <w:tblPr>
      <w:tblStyleRowBandSize w:val="1"/>
      <w:tblStyleColBandSize w:val="1"/>
      <w:tblCellMar>
        <w:left w:w="115" w:type="dxa"/>
        <w:right w:w="115" w:type="dxa"/>
      </w:tblCellMar>
    </w:tblPr>
  </w:style>
  <w:style w:type="table" w:customStyle="1" w:styleId="a8">
    <w:basedOn w:val="TableNormala"/>
    <w:tblPr>
      <w:tblStyleRowBandSize w:val="1"/>
      <w:tblStyleColBandSize w:val="1"/>
      <w:tblCellMar>
        <w:left w:w="115" w:type="dxa"/>
        <w:right w:w="115" w:type="dxa"/>
      </w:tblCellMar>
    </w:tblPr>
  </w:style>
  <w:style w:type="table" w:customStyle="1" w:styleId="a9">
    <w:basedOn w:val="TableNormala"/>
    <w:tblPr>
      <w:tblStyleRowBandSize w:val="1"/>
      <w:tblStyleColBandSize w:val="1"/>
      <w:tblCellMar>
        <w:left w:w="115" w:type="dxa"/>
        <w:right w:w="115" w:type="dxa"/>
      </w:tblCellMar>
    </w:tblPr>
  </w:style>
  <w:style w:type="table" w:customStyle="1" w:styleId="aa">
    <w:basedOn w:val="TableNormala"/>
    <w:tblPr>
      <w:tblStyleRowBandSize w:val="1"/>
      <w:tblStyleColBandSize w:val="1"/>
      <w:tblCellMar>
        <w:left w:w="115" w:type="dxa"/>
        <w:right w:w="115" w:type="dxa"/>
      </w:tblCellMar>
    </w:tblPr>
  </w:style>
  <w:style w:type="table" w:customStyle="1" w:styleId="ab">
    <w:basedOn w:val="TableNormala"/>
    <w:tblPr>
      <w:tblStyleRowBandSize w:val="1"/>
      <w:tblStyleColBandSize w:val="1"/>
      <w:tblCellMar>
        <w:left w:w="115" w:type="dxa"/>
        <w:right w:w="115" w:type="dxa"/>
      </w:tblCellMar>
    </w:tblPr>
  </w:style>
  <w:style w:type="table" w:customStyle="1" w:styleId="ac">
    <w:basedOn w:val="TableNormala"/>
    <w:tblPr>
      <w:tblStyleRowBandSize w:val="1"/>
      <w:tblStyleColBandSize w:val="1"/>
      <w:tblCellMar>
        <w:left w:w="115" w:type="dxa"/>
        <w:right w:w="115" w:type="dxa"/>
      </w:tblCellMar>
    </w:tblPr>
  </w:style>
  <w:style w:type="table" w:customStyle="1" w:styleId="ad">
    <w:basedOn w:val="TableNormala"/>
    <w:tblPr>
      <w:tblStyleRowBandSize w:val="1"/>
      <w:tblStyleColBandSize w:val="1"/>
      <w:tblCellMar>
        <w:left w:w="115" w:type="dxa"/>
        <w:right w:w="115" w:type="dxa"/>
      </w:tblCellMar>
    </w:tblPr>
  </w:style>
  <w:style w:type="table" w:customStyle="1" w:styleId="ae">
    <w:basedOn w:val="TableNormala"/>
    <w:tblPr>
      <w:tblStyleRowBandSize w:val="1"/>
      <w:tblStyleColBandSize w:val="1"/>
      <w:tblCellMar>
        <w:left w:w="115" w:type="dxa"/>
        <w:right w:w="115" w:type="dxa"/>
      </w:tblCellMar>
    </w:tblPr>
  </w:style>
  <w:style w:type="table" w:customStyle="1" w:styleId="af">
    <w:basedOn w:val="TableNormala"/>
    <w:tblPr>
      <w:tblStyleRowBandSize w:val="1"/>
      <w:tblStyleColBandSize w:val="1"/>
      <w:tblCellMar>
        <w:left w:w="115" w:type="dxa"/>
        <w:right w:w="115" w:type="dxa"/>
      </w:tblCellMar>
    </w:tblPr>
  </w:style>
  <w:style w:type="character" w:styleId="Refdecomentario">
    <w:name w:val="annotation reference"/>
    <w:basedOn w:val="Fuentedeprrafopredeter"/>
    <w:uiPriority w:val="99"/>
    <w:unhideWhenUsed/>
    <w:rPr>
      <w:sz w:val="16"/>
      <w:szCs w:val="16"/>
    </w:rPr>
  </w:style>
  <w:style w:type="table" w:customStyle="1" w:styleId="af0">
    <w:basedOn w:val="TableNormal8"/>
    <w:tblPr>
      <w:tblStyleRowBandSize w:val="1"/>
      <w:tblStyleColBandSize w:val="1"/>
      <w:tblCellMar>
        <w:top w:w="100" w:type="dxa"/>
        <w:left w:w="100" w:type="dxa"/>
        <w:bottom w:w="100" w:type="dxa"/>
        <w:right w:w="100" w:type="dxa"/>
      </w:tblCellMar>
    </w:tblPr>
  </w:style>
  <w:style w:type="table" w:customStyle="1" w:styleId="af1">
    <w:basedOn w:val="TableNormal8"/>
    <w:tblPr>
      <w:tblStyleRowBandSize w:val="1"/>
      <w:tblStyleColBandSize w:val="1"/>
      <w:tblCellMar>
        <w:left w:w="115" w:type="dxa"/>
        <w:right w:w="115" w:type="dxa"/>
      </w:tblCellMar>
    </w:tblPr>
  </w:style>
  <w:style w:type="table" w:customStyle="1" w:styleId="af2">
    <w:basedOn w:val="TableNormal8"/>
    <w:tblPr>
      <w:tblStyleRowBandSize w:val="1"/>
      <w:tblStyleColBandSize w:val="1"/>
      <w:tblCellMar>
        <w:left w:w="115" w:type="dxa"/>
        <w:right w:w="115" w:type="dxa"/>
      </w:tblCellMar>
    </w:tblPr>
  </w:style>
  <w:style w:type="table" w:customStyle="1" w:styleId="af3">
    <w:basedOn w:val="TableNormal8"/>
    <w:tblPr>
      <w:tblStyleRowBandSize w:val="1"/>
      <w:tblStyleColBandSize w:val="1"/>
      <w:tblCellMar>
        <w:left w:w="115" w:type="dxa"/>
        <w:right w:w="115" w:type="dxa"/>
      </w:tblCellMar>
    </w:tblPr>
  </w:style>
  <w:style w:type="table" w:customStyle="1" w:styleId="af4">
    <w:basedOn w:val="TableNormal8"/>
    <w:tblPr>
      <w:tblStyleRowBandSize w:val="1"/>
      <w:tblStyleColBandSize w:val="1"/>
      <w:tblCellMar>
        <w:left w:w="115" w:type="dxa"/>
        <w:right w:w="115" w:type="dxa"/>
      </w:tblCellMar>
    </w:tblPr>
  </w:style>
  <w:style w:type="table" w:customStyle="1" w:styleId="af5">
    <w:basedOn w:val="TableNormal8"/>
    <w:tblPr>
      <w:tblStyleRowBandSize w:val="1"/>
      <w:tblStyleColBandSize w:val="1"/>
      <w:tblCellMar>
        <w:left w:w="115" w:type="dxa"/>
        <w:right w:w="115" w:type="dxa"/>
      </w:tblCellMar>
    </w:tblPr>
  </w:style>
  <w:style w:type="table" w:customStyle="1" w:styleId="af6">
    <w:basedOn w:val="TableNormal8"/>
    <w:tblPr>
      <w:tblStyleRowBandSize w:val="1"/>
      <w:tblStyleColBandSize w:val="1"/>
      <w:tblCellMar>
        <w:left w:w="115" w:type="dxa"/>
        <w:right w:w="115" w:type="dxa"/>
      </w:tblCellMar>
    </w:tblPr>
  </w:style>
  <w:style w:type="table" w:customStyle="1" w:styleId="af7">
    <w:basedOn w:val="TableNormal8"/>
    <w:tblPr>
      <w:tblStyleRowBandSize w:val="1"/>
      <w:tblStyleColBandSize w:val="1"/>
      <w:tblCellMar>
        <w:left w:w="115" w:type="dxa"/>
        <w:right w:w="115" w:type="dxa"/>
      </w:tblCellMar>
    </w:tblPr>
  </w:style>
  <w:style w:type="table" w:customStyle="1" w:styleId="af8">
    <w:basedOn w:val="TableNormal7"/>
    <w:tblPr>
      <w:tblStyleRowBandSize w:val="1"/>
      <w:tblStyleColBandSize w:val="1"/>
      <w:tblCellMar>
        <w:top w:w="100" w:type="dxa"/>
        <w:left w:w="115" w:type="dxa"/>
        <w:bottom w:w="100" w:type="dxa"/>
        <w:right w:w="115" w:type="dxa"/>
      </w:tblCellMar>
    </w:tblPr>
  </w:style>
  <w:style w:type="table" w:customStyle="1" w:styleId="af9">
    <w:basedOn w:val="TableNormal7"/>
    <w:tblPr>
      <w:tblStyleRowBandSize w:val="1"/>
      <w:tblStyleColBandSize w:val="1"/>
      <w:tblCellMar>
        <w:top w:w="100" w:type="dxa"/>
        <w:left w:w="115" w:type="dxa"/>
        <w:bottom w:w="100" w:type="dxa"/>
        <w:right w:w="115" w:type="dxa"/>
      </w:tblCellMar>
    </w:tblPr>
  </w:style>
  <w:style w:type="table" w:customStyle="1" w:styleId="afa">
    <w:basedOn w:val="TableNormal7"/>
    <w:tblPr>
      <w:tblStyleRowBandSize w:val="1"/>
      <w:tblStyleColBandSize w:val="1"/>
      <w:tblCellMar>
        <w:top w:w="100" w:type="dxa"/>
        <w:left w:w="115" w:type="dxa"/>
        <w:bottom w:w="100" w:type="dxa"/>
        <w:right w:w="115" w:type="dxa"/>
      </w:tblCellMar>
    </w:tblPr>
  </w:style>
  <w:style w:type="table" w:customStyle="1" w:styleId="afb">
    <w:basedOn w:val="TableNormal7"/>
    <w:tblPr>
      <w:tblStyleRowBandSize w:val="1"/>
      <w:tblStyleColBandSize w:val="1"/>
      <w:tblCellMar>
        <w:top w:w="100" w:type="dxa"/>
        <w:left w:w="115" w:type="dxa"/>
        <w:bottom w:w="100"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paragraph" w:styleId="Revisin">
    <w:name w:val="Revision"/>
    <w:hidden/>
    <w:uiPriority w:val="99"/>
    <w:semiHidden/>
    <w:rsid w:val="00A079FA"/>
    <w:pPr>
      <w:spacing w:after="0" w:line="240" w:lineRule="auto"/>
    </w:pPr>
  </w:style>
  <w:style w:type="table" w:customStyle="1" w:styleId="afd">
    <w:basedOn w:val="TableNormal6"/>
    <w:tblPr>
      <w:tblStyleRowBandSize w:val="1"/>
      <w:tblStyleColBandSize w:val="1"/>
      <w:tblCellMar>
        <w:top w:w="100" w:type="dxa"/>
        <w:left w:w="115" w:type="dxa"/>
        <w:bottom w:w="100" w:type="dxa"/>
        <w:right w:w="115" w:type="dxa"/>
      </w:tblCellMar>
    </w:tblPr>
  </w:style>
  <w:style w:type="table" w:customStyle="1" w:styleId="afe">
    <w:basedOn w:val="TableNormal6"/>
    <w:tblPr>
      <w:tblStyleRowBandSize w:val="1"/>
      <w:tblStyleColBandSize w:val="1"/>
      <w:tblCellMar>
        <w:top w:w="100" w:type="dxa"/>
        <w:left w:w="115" w:type="dxa"/>
        <w:bottom w:w="100" w:type="dxa"/>
        <w:right w:w="115" w:type="dxa"/>
      </w:tblCellMar>
    </w:tblPr>
  </w:style>
  <w:style w:type="table" w:customStyle="1" w:styleId="aff">
    <w:basedOn w:val="TableNormal6"/>
    <w:tblPr>
      <w:tblStyleRowBandSize w:val="1"/>
      <w:tblStyleColBandSize w:val="1"/>
      <w:tblCellMar>
        <w:top w:w="100" w:type="dxa"/>
        <w:left w:w="115" w:type="dxa"/>
        <w:bottom w:w="100" w:type="dxa"/>
        <w:right w:w="115" w:type="dxa"/>
      </w:tblCellMar>
    </w:tblPr>
  </w:style>
  <w:style w:type="table" w:customStyle="1" w:styleId="aff0">
    <w:basedOn w:val="TableNormal6"/>
    <w:tblPr>
      <w:tblStyleRowBandSize w:val="1"/>
      <w:tblStyleColBandSize w:val="1"/>
      <w:tblCellMar>
        <w:top w:w="100" w:type="dxa"/>
        <w:left w:w="100" w:type="dxa"/>
        <w:bottom w:w="100" w:type="dxa"/>
        <w:right w:w="100" w:type="dxa"/>
      </w:tblCellMar>
    </w:tblPr>
  </w:style>
  <w:style w:type="table" w:customStyle="1" w:styleId="aff1">
    <w:basedOn w:val="TableNormal6"/>
    <w:tblPr>
      <w:tblStyleRowBandSize w:val="1"/>
      <w:tblStyleColBandSize w:val="1"/>
      <w:tblCellMar>
        <w:top w:w="100" w:type="dxa"/>
        <w:left w:w="115" w:type="dxa"/>
        <w:bottom w:w="100" w:type="dxa"/>
        <w:right w:w="115" w:type="dxa"/>
      </w:tblCellMar>
    </w:tblPr>
  </w:style>
  <w:style w:type="table" w:customStyle="1" w:styleId="aff2">
    <w:basedOn w:val="TableNormal6"/>
    <w:tblPr>
      <w:tblStyleRowBandSize w:val="1"/>
      <w:tblStyleColBandSize w:val="1"/>
      <w:tblCellMar>
        <w:top w:w="100" w:type="dxa"/>
        <w:left w:w="100" w:type="dxa"/>
        <w:bottom w:w="100" w:type="dxa"/>
        <w:right w:w="100" w:type="dxa"/>
      </w:tblCellMar>
    </w:tblPr>
  </w:style>
  <w:style w:type="table" w:customStyle="1" w:styleId="aff3">
    <w:basedOn w:val="TableNormal6"/>
    <w:tblPr>
      <w:tblStyleRowBandSize w:val="1"/>
      <w:tblStyleColBandSize w:val="1"/>
      <w:tblCellMar>
        <w:top w:w="100" w:type="dxa"/>
        <w:left w:w="115" w:type="dxa"/>
        <w:bottom w:w="100" w:type="dxa"/>
        <w:right w:w="115" w:type="dxa"/>
      </w:tblCellMar>
    </w:tblPr>
  </w:style>
  <w:style w:type="table" w:customStyle="1" w:styleId="aff4">
    <w:basedOn w:val="TableNormal5"/>
    <w:tblPr>
      <w:tblStyleRowBandSize w:val="1"/>
      <w:tblStyleColBandSize w:val="1"/>
      <w:tblCellMar>
        <w:top w:w="100" w:type="dxa"/>
        <w:left w:w="115" w:type="dxa"/>
        <w:bottom w:w="100" w:type="dxa"/>
        <w:right w:w="115" w:type="dxa"/>
      </w:tblCellMar>
    </w:tblPr>
  </w:style>
  <w:style w:type="table" w:customStyle="1" w:styleId="aff5">
    <w:basedOn w:val="TableNormal5"/>
    <w:tblPr>
      <w:tblStyleRowBandSize w:val="1"/>
      <w:tblStyleColBandSize w:val="1"/>
      <w:tblCellMar>
        <w:top w:w="100" w:type="dxa"/>
        <w:left w:w="115" w:type="dxa"/>
        <w:bottom w:w="100" w:type="dxa"/>
        <w:right w:w="115" w:type="dxa"/>
      </w:tblCellMar>
    </w:tblPr>
  </w:style>
  <w:style w:type="table" w:customStyle="1" w:styleId="aff6">
    <w:basedOn w:val="TableNormal5"/>
    <w:tblPr>
      <w:tblStyleRowBandSize w:val="1"/>
      <w:tblStyleColBandSize w:val="1"/>
      <w:tblCellMar>
        <w:top w:w="100" w:type="dxa"/>
        <w:left w:w="115" w:type="dxa"/>
        <w:bottom w:w="100" w:type="dxa"/>
        <w:right w:w="115" w:type="dxa"/>
      </w:tblCellMar>
    </w:tblPr>
  </w:style>
  <w:style w:type="table" w:customStyle="1" w:styleId="aff7">
    <w:basedOn w:val="TableNormal5"/>
    <w:tblPr>
      <w:tblStyleRowBandSize w:val="1"/>
      <w:tblStyleColBandSize w:val="1"/>
      <w:tblCellMar>
        <w:top w:w="100" w:type="dxa"/>
        <w:left w:w="100" w:type="dxa"/>
        <w:bottom w:w="100" w:type="dxa"/>
        <w:right w:w="100" w:type="dxa"/>
      </w:tblCellMar>
    </w:tblPr>
  </w:style>
  <w:style w:type="table" w:customStyle="1" w:styleId="aff8">
    <w:basedOn w:val="TableNormal5"/>
    <w:tblPr>
      <w:tblStyleRowBandSize w:val="1"/>
      <w:tblStyleColBandSize w:val="1"/>
      <w:tblCellMar>
        <w:top w:w="100" w:type="dxa"/>
        <w:left w:w="115" w:type="dxa"/>
        <w:bottom w:w="100" w:type="dxa"/>
        <w:right w:w="115" w:type="dxa"/>
      </w:tblCellMar>
    </w:tblPr>
  </w:style>
  <w:style w:type="table" w:customStyle="1" w:styleId="aff9">
    <w:basedOn w:val="TableNormal5"/>
    <w:tblPr>
      <w:tblStyleRowBandSize w:val="1"/>
      <w:tblStyleColBandSize w:val="1"/>
      <w:tblCellMar>
        <w:top w:w="100" w:type="dxa"/>
        <w:left w:w="115" w:type="dxa"/>
        <w:bottom w:w="100" w:type="dxa"/>
        <w:right w:w="115" w:type="dxa"/>
      </w:tblCellMar>
    </w:tblPr>
  </w:style>
  <w:style w:type="table" w:customStyle="1" w:styleId="affa">
    <w:basedOn w:val="TableNormal5"/>
    <w:tblPr>
      <w:tblStyleRowBandSize w:val="1"/>
      <w:tblStyleColBandSize w:val="1"/>
      <w:tblCellMar>
        <w:top w:w="100" w:type="dxa"/>
        <w:left w:w="115" w:type="dxa"/>
        <w:bottom w:w="100" w:type="dxa"/>
        <w:right w:w="115" w:type="dxa"/>
      </w:tblCellMar>
    </w:tblPr>
  </w:style>
  <w:style w:type="table" w:customStyle="1" w:styleId="affb">
    <w:basedOn w:val="TableNormal4"/>
    <w:tblPr>
      <w:tblStyleRowBandSize w:val="1"/>
      <w:tblStyleColBandSize w:val="1"/>
      <w:tblCellMar>
        <w:top w:w="100" w:type="dxa"/>
        <w:left w:w="115" w:type="dxa"/>
        <w:bottom w:w="100" w:type="dxa"/>
        <w:right w:w="115" w:type="dxa"/>
      </w:tblCellMar>
    </w:tblPr>
  </w:style>
  <w:style w:type="table" w:customStyle="1" w:styleId="affc">
    <w:basedOn w:val="TableNormal4"/>
    <w:tblPr>
      <w:tblStyleRowBandSize w:val="1"/>
      <w:tblStyleColBandSize w:val="1"/>
      <w:tblCellMar>
        <w:top w:w="100" w:type="dxa"/>
        <w:left w:w="115" w:type="dxa"/>
        <w:bottom w:w="100" w:type="dxa"/>
        <w:right w:w="115" w:type="dxa"/>
      </w:tblCellMar>
    </w:tblPr>
  </w:style>
  <w:style w:type="table" w:customStyle="1" w:styleId="affd">
    <w:basedOn w:val="TableNormal4"/>
    <w:tblPr>
      <w:tblStyleRowBandSize w:val="1"/>
      <w:tblStyleColBandSize w:val="1"/>
      <w:tblCellMar>
        <w:top w:w="100" w:type="dxa"/>
        <w:left w:w="115" w:type="dxa"/>
        <w:bottom w:w="100" w:type="dxa"/>
        <w:right w:w="115" w:type="dxa"/>
      </w:tblCellMar>
    </w:tblPr>
  </w:style>
  <w:style w:type="table" w:customStyle="1" w:styleId="affe">
    <w:basedOn w:val="TableNormal4"/>
    <w:tblPr>
      <w:tblStyleRowBandSize w:val="1"/>
      <w:tblStyleColBandSize w:val="1"/>
      <w:tblCellMar>
        <w:top w:w="100" w:type="dxa"/>
        <w:left w:w="115" w:type="dxa"/>
        <w:bottom w:w="100" w:type="dxa"/>
        <w:right w:w="115" w:type="dxa"/>
      </w:tblCellMar>
    </w:tblPr>
  </w:style>
  <w:style w:type="table" w:customStyle="1" w:styleId="afff">
    <w:basedOn w:val="TableNormal4"/>
    <w:tblPr>
      <w:tblStyleRowBandSize w:val="1"/>
      <w:tblStyleColBandSize w:val="1"/>
      <w:tblCellMar>
        <w:top w:w="100" w:type="dxa"/>
        <w:left w:w="115" w:type="dxa"/>
        <w:bottom w:w="100" w:type="dxa"/>
        <w:right w:w="115" w:type="dxa"/>
      </w:tblCellMar>
    </w:tblPr>
  </w:style>
  <w:style w:type="table" w:customStyle="1" w:styleId="afff0">
    <w:basedOn w:val="TableNormal4"/>
    <w:tblPr>
      <w:tblStyleRowBandSize w:val="1"/>
      <w:tblStyleColBandSize w:val="1"/>
      <w:tblCellMar>
        <w:top w:w="100" w:type="dxa"/>
        <w:left w:w="115" w:type="dxa"/>
        <w:bottom w:w="100" w:type="dxa"/>
        <w:right w:w="115" w:type="dxa"/>
      </w:tblCellMar>
    </w:tblPr>
  </w:style>
  <w:style w:type="table" w:customStyle="1" w:styleId="afff1">
    <w:basedOn w:val="TableNormal4"/>
    <w:tblPr>
      <w:tblStyleRowBandSize w:val="1"/>
      <w:tblStyleColBandSize w:val="1"/>
      <w:tblCellMar>
        <w:top w:w="100" w:type="dxa"/>
        <w:left w:w="115" w:type="dxa"/>
        <w:bottom w:w="100" w:type="dxa"/>
        <w:right w:w="115" w:type="dxa"/>
      </w:tblCellMar>
    </w:tblPr>
  </w:style>
  <w:style w:type="table" w:customStyle="1" w:styleId="afff2">
    <w:basedOn w:val="TableNormal4"/>
    <w:tblPr>
      <w:tblStyleRowBandSize w:val="1"/>
      <w:tblStyleColBandSize w:val="1"/>
      <w:tblCellMar>
        <w:top w:w="100" w:type="dxa"/>
        <w:left w:w="115" w:type="dxa"/>
        <w:bottom w:w="100" w:type="dxa"/>
        <w:right w:w="115" w:type="dxa"/>
      </w:tblCellMar>
    </w:tblPr>
  </w:style>
  <w:style w:type="table" w:customStyle="1" w:styleId="afff3">
    <w:basedOn w:val="TableNormal4"/>
    <w:tblPr>
      <w:tblStyleRowBandSize w:val="1"/>
      <w:tblStyleColBandSize w:val="1"/>
      <w:tblCellMar>
        <w:top w:w="100" w:type="dxa"/>
        <w:left w:w="115" w:type="dxa"/>
        <w:bottom w:w="100" w:type="dxa"/>
        <w:right w:w="115" w:type="dxa"/>
      </w:tblCellMar>
    </w:tblPr>
  </w:style>
  <w:style w:type="table" w:customStyle="1" w:styleId="afff4">
    <w:basedOn w:val="TableNormal4"/>
    <w:tblPr>
      <w:tblStyleRowBandSize w:val="1"/>
      <w:tblStyleColBandSize w:val="1"/>
      <w:tblCellMar>
        <w:top w:w="100" w:type="dxa"/>
        <w:left w:w="115" w:type="dxa"/>
        <w:bottom w:w="100" w:type="dxa"/>
        <w:right w:w="115" w:type="dxa"/>
      </w:tblCellMar>
    </w:tblPr>
  </w:style>
  <w:style w:type="table" w:customStyle="1" w:styleId="afff5">
    <w:basedOn w:val="TableNormal4"/>
    <w:tblPr>
      <w:tblStyleRowBandSize w:val="1"/>
      <w:tblStyleColBandSize w:val="1"/>
      <w:tblCellMar>
        <w:top w:w="100" w:type="dxa"/>
        <w:left w:w="115" w:type="dxa"/>
        <w:bottom w:w="100" w:type="dxa"/>
        <w:right w:w="115" w:type="dxa"/>
      </w:tblCellMar>
    </w:tblPr>
  </w:style>
  <w:style w:type="table" w:customStyle="1" w:styleId="afff6">
    <w:basedOn w:val="TableNormal4"/>
    <w:tblPr>
      <w:tblStyleRowBandSize w:val="1"/>
      <w:tblStyleColBandSize w:val="1"/>
      <w:tblCellMar>
        <w:top w:w="100" w:type="dxa"/>
        <w:left w:w="115" w:type="dxa"/>
        <w:bottom w:w="100" w:type="dxa"/>
        <w:right w:w="115" w:type="dxa"/>
      </w:tblCellMar>
    </w:tblPr>
  </w:style>
  <w:style w:type="table" w:customStyle="1" w:styleId="afff7">
    <w:basedOn w:val="TableNormal4"/>
    <w:tblPr>
      <w:tblStyleRowBandSize w:val="1"/>
      <w:tblStyleColBandSize w:val="1"/>
      <w:tblCellMar>
        <w:left w:w="115" w:type="dxa"/>
        <w:right w:w="115" w:type="dxa"/>
      </w:tblCellMar>
    </w:tblPr>
  </w:style>
  <w:style w:type="table" w:customStyle="1" w:styleId="afff8">
    <w:basedOn w:val="TableNormal4"/>
    <w:tblPr>
      <w:tblStyleRowBandSize w:val="1"/>
      <w:tblStyleColBandSize w:val="1"/>
      <w:tblCellMar>
        <w:top w:w="100" w:type="dxa"/>
        <w:left w:w="115" w:type="dxa"/>
        <w:bottom w:w="100" w:type="dxa"/>
        <w:right w:w="115" w:type="dxa"/>
      </w:tblCellMar>
    </w:tblPr>
  </w:style>
  <w:style w:type="character" w:customStyle="1" w:styleId="cf01">
    <w:name w:val="cf01"/>
    <w:basedOn w:val="Fuentedeprrafopredeter"/>
    <w:rsid w:val="00D36BB6"/>
    <w:rPr>
      <w:rFonts w:ascii="Segoe UI" w:hAnsi="Segoe UI" w:cs="Segoe UI" w:hint="default"/>
      <w:sz w:val="18"/>
      <w:szCs w:val="18"/>
    </w:rPr>
  </w:style>
  <w:style w:type="table" w:customStyle="1" w:styleId="afff9">
    <w:basedOn w:val="TableNormal2"/>
    <w:tblPr>
      <w:tblStyleRowBandSize w:val="1"/>
      <w:tblStyleColBandSize w:val="1"/>
      <w:tblCellMar>
        <w:top w:w="100" w:type="dxa"/>
        <w:left w:w="115" w:type="dxa"/>
        <w:bottom w:w="100" w:type="dxa"/>
        <w:right w:w="115" w:type="dxa"/>
      </w:tblCellMar>
    </w:tblPr>
  </w:style>
  <w:style w:type="table" w:customStyle="1" w:styleId="afffa">
    <w:basedOn w:val="TableNormal2"/>
    <w:tblPr>
      <w:tblStyleRowBandSize w:val="1"/>
      <w:tblStyleColBandSize w:val="1"/>
      <w:tblCellMar>
        <w:top w:w="100" w:type="dxa"/>
        <w:left w:w="115" w:type="dxa"/>
        <w:bottom w:w="100" w:type="dxa"/>
        <w:right w:w="115" w:type="dxa"/>
      </w:tblCellMar>
    </w:tblPr>
  </w:style>
  <w:style w:type="table" w:customStyle="1" w:styleId="afffb">
    <w:basedOn w:val="TableNormal2"/>
    <w:tblPr>
      <w:tblStyleRowBandSize w:val="1"/>
      <w:tblStyleColBandSize w:val="1"/>
      <w:tblCellMar>
        <w:top w:w="100" w:type="dxa"/>
        <w:left w:w="115" w:type="dxa"/>
        <w:bottom w:w="100" w:type="dxa"/>
        <w:right w:w="115" w:type="dxa"/>
      </w:tblCellMar>
    </w:tblPr>
  </w:style>
  <w:style w:type="table" w:customStyle="1" w:styleId="afffc">
    <w:basedOn w:val="TableNormal2"/>
    <w:tblPr>
      <w:tblStyleRowBandSize w:val="1"/>
      <w:tblStyleColBandSize w:val="1"/>
      <w:tblCellMar>
        <w:top w:w="100" w:type="dxa"/>
        <w:left w:w="115" w:type="dxa"/>
        <w:bottom w:w="100" w:type="dxa"/>
        <w:right w:w="115" w:type="dxa"/>
      </w:tblCellMar>
    </w:tblPr>
  </w:style>
  <w:style w:type="table" w:customStyle="1" w:styleId="afffd">
    <w:basedOn w:val="TableNormal2"/>
    <w:tblPr>
      <w:tblStyleRowBandSize w:val="1"/>
      <w:tblStyleColBandSize w:val="1"/>
      <w:tblCellMar>
        <w:top w:w="100" w:type="dxa"/>
        <w:left w:w="115" w:type="dxa"/>
        <w:bottom w:w="100" w:type="dxa"/>
        <w:right w:w="115" w:type="dxa"/>
      </w:tblCellMar>
    </w:tblPr>
  </w:style>
  <w:style w:type="table" w:customStyle="1" w:styleId="afffe">
    <w:basedOn w:val="TableNormal2"/>
    <w:tblPr>
      <w:tblStyleRowBandSize w:val="1"/>
      <w:tblStyleColBandSize w:val="1"/>
      <w:tblCellMar>
        <w:top w:w="100" w:type="dxa"/>
        <w:left w:w="115" w:type="dxa"/>
        <w:bottom w:w="100" w:type="dxa"/>
        <w:right w:w="115" w:type="dxa"/>
      </w:tblCellMar>
    </w:tblPr>
  </w:style>
  <w:style w:type="table" w:customStyle="1" w:styleId="affff">
    <w:basedOn w:val="TableNormal2"/>
    <w:tblPr>
      <w:tblStyleRowBandSize w:val="1"/>
      <w:tblStyleColBandSize w:val="1"/>
      <w:tblCellMar>
        <w:top w:w="100" w:type="dxa"/>
        <w:left w:w="115" w:type="dxa"/>
        <w:bottom w:w="100" w:type="dxa"/>
        <w:right w:w="115" w:type="dxa"/>
      </w:tblCellMar>
    </w:tblPr>
  </w:style>
  <w:style w:type="table" w:customStyle="1" w:styleId="affff0">
    <w:basedOn w:val="TableNormal1"/>
    <w:tblPr>
      <w:tblStyleRowBandSize w:val="1"/>
      <w:tblStyleColBandSize w:val="1"/>
      <w:tblCellMar>
        <w:top w:w="100" w:type="dxa"/>
        <w:left w:w="115" w:type="dxa"/>
        <w:bottom w:w="100" w:type="dxa"/>
        <w:right w:w="115" w:type="dxa"/>
      </w:tblCellMar>
    </w:tblPr>
  </w:style>
  <w:style w:type="table" w:customStyle="1" w:styleId="affff1">
    <w:basedOn w:val="TableNormal1"/>
    <w:tblPr>
      <w:tblStyleRowBandSize w:val="1"/>
      <w:tblStyleColBandSize w:val="1"/>
      <w:tblCellMar>
        <w:top w:w="100" w:type="dxa"/>
        <w:left w:w="115" w:type="dxa"/>
        <w:bottom w:w="100" w:type="dxa"/>
        <w:right w:w="115" w:type="dxa"/>
      </w:tblCellMar>
    </w:tblPr>
  </w:style>
  <w:style w:type="table" w:customStyle="1" w:styleId="affff2">
    <w:basedOn w:val="TableNormal1"/>
    <w:tblPr>
      <w:tblStyleRowBandSize w:val="1"/>
      <w:tblStyleColBandSize w:val="1"/>
      <w:tblCellMar>
        <w:top w:w="100" w:type="dxa"/>
        <w:left w:w="115" w:type="dxa"/>
        <w:bottom w:w="100" w:type="dxa"/>
        <w:right w:w="115" w:type="dxa"/>
      </w:tblCellMar>
    </w:tblPr>
  </w:style>
  <w:style w:type="table" w:customStyle="1" w:styleId="affff3">
    <w:basedOn w:val="TableNormal1"/>
    <w:tblPr>
      <w:tblStyleRowBandSize w:val="1"/>
      <w:tblStyleColBandSize w:val="1"/>
      <w:tblCellMar>
        <w:top w:w="100" w:type="dxa"/>
        <w:left w:w="115" w:type="dxa"/>
        <w:bottom w:w="100" w:type="dxa"/>
        <w:right w:w="115" w:type="dxa"/>
      </w:tblCellMar>
    </w:tblPr>
  </w:style>
  <w:style w:type="table" w:customStyle="1" w:styleId="affff4">
    <w:basedOn w:val="TableNormal1"/>
    <w:tblPr>
      <w:tblStyleRowBandSize w:val="1"/>
      <w:tblStyleColBandSize w:val="1"/>
      <w:tblCellMar>
        <w:top w:w="100" w:type="dxa"/>
        <w:left w:w="115" w:type="dxa"/>
        <w:bottom w:w="100" w:type="dxa"/>
        <w:right w:w="115" w:type="dxa"/>
      </w:tblCellMar>
    </w:tblPr>
  </w:style>
  <w:style w:type="table" w:customStyle="1" w:styleId="affff5">
    <w:basedOn w:val="TableNormal1"/>
    <w:tblPr>
      <w:tblStyleRowBandSize w:val="1"/>
      <w:tblStyleColBandSize w:val="1"/>
      <w:tblCellMar>
        <w:top w:w="100" w:type="dxa"/>
        <w:left w:w="115" w:type="dxa"/>
        <w:bottom w:w="100" w:type="dxa"/>
        <w:right w:w="115" w:type="dxa"/>
      </w:tblCellMar>
    </w:tblPr>
  </w:style>
  <w:style w:type="table" w:customStyle="1" w:styleId="affff6">
    <w:basedOn w:val="TableNormal1"/>
    <w:tblPr>
      <w:tblStyleRowBandSize w:val="1"/>
      <w:tblStyleColBandSize w:val="1"/>
      <w:tblCellMar>
        <w:top w:w="100" w:type="dxa"/>
        <w:left w:w="115" w:type="dxa"/>
        <w:bottom w:w="100" w:type="dxa"/>
        <w:right w:w="115" w:type="dxa"/>
      </w:tblCellMar>
    </w:tblPr>
  </w:style>
  <w:style w:type="character" w:customStyle="1" w:styleId="Mencinsinresolver1">
    <w:name w:val="Mención sin resolver1"/>
    <w:basedOn w:val="Fuentedeprrafopredeter"/>
    <w:uiPriority w:val="99"/>
    <w:semiHidden/>
    <w:unhideWhenUsed/>
    <w:rsid w:val="00042B70"/>
    <w:rPr>
      <w:color w:val="605E5C"/>
      <w:shd w:val="clear" w:color="auto" w:fill="E1DFDD"/>
    </w:rPr>
  </w:style>
  <w:style w:type="table" w:customStyle="1" w:styleId="affff7">
    <w:basedOn w:val="TableNormal0"/>
    <w:tblPr>
      <w:tblStyleRowBandSize w:val="1"/>
      <w:tblStyleColBandSize w:val="1"/>
      <w:tblCellMar>
        <w:top w:w="100" w:type="dxa"/>
        <w:left w:w="115" w:type="dxa"/>
        <w:bottom w:w="100" w:type="dxa"/>
        <w:right w:w="115" w:type="dxa"/>
      </w:tblCellMar>
    </w:tblPr>
  </w:style>
  <w:style w:type="table" w:customStyle="1" w:styleId="affff8">
    <w:basedOn w:val="TableNormal0"/>
    <w:tblPr>
      <w:tblStyleRowBandSize w:val="1"/>
      <w:tblStyleColBandSize w:val="1"/>
      <w:tblCellMar>
        <w:top w:w="100" w:type="dxa"/>
        <w:left w:w="115" w:type="dxa"/>
        <w:bottom w:w="100" w:type="dxa"/>
        <w:right w:w="115" w:type="dxa"/>
      </w:tblCellMar>
    </w:tblPr>
  </w:style>
  <w:style w:type="table" w:customStyle="1" w:styleId="affff9">
    <w:basedOn w:val="TableNormal0"/>
    <w:tblPr>
      <w:tblStyleRowBandSize w:val="1"/>
      <w:tblStyleColBandSize w:val="1"/>
      <w:tblCellMar>
        <w:top w:w="100" w:type="dxa"/>
        <w:left w:w="115" w:type="dxa"/>
        <w:bottom w:w="100" w:type="dxa"/>
        <w:right w:w="115" w:type="dxa"/>
      </w:tblCellMar>
    </w:tblPr>
  </w:style>
  <w:style w:type="table" w:customStyle="1" w:styleId="affffa">
    <w:basedOn w:val="TableNormal0"/>
    <w:tblPr>
      <w:tblStyleRowBandSize w:val="1"/>
      <w:tblStyleColBandSize w:val="1"/>
      <w:tblCellMar>
        <w:top w:w="100" w:type="dxa"/>
        <w:left w:w="115" w:type="dxa"/>
        <w:bottom w:w="100" w:type="dxa"/>
        <w:right w:w="115" w:type="dxa"/>
      </w:tblCellMar>
    </w:tblPr>
  </w:style>
  <w:style w:type="table" w:customStyle="1" w:styleId="affffb">
    <w:basedOn w:val="TableNormal0"/>
    <w:tblPr>
      <w:tblStyleRowBandSize w:val="1"/>
      <w:tblStyleColBandSize w:val="1"/>
      <w:tblCellMar>
        <w:top w:w="100" w:type="dxa"/>
        <w:left w:w="115" w:type="dxa"/>
        <w:bottom w:w="100" w:type="dxa"/>
        <w:right w:w="115" w:type="dxa"/>
      </w:tblCellMar>
    </w:tblPr>
  </w:style>
  <w:style w:type="table" w:customStyle="1" w:styleId="affffc">
    <w:basedOn w:val="TableNormal0"/>
    <w:tblPr>
      <w:tblStyleRowBandSize w:val="1"/>
      <w:tblStyleColBandSize w:val="1"/>
      <w:tblCellMar>
        <w:top w:w="100" w:type="dxa"/>
        <w:left w:w="115" w:type="dxa"/>
        <w:bottom w:w="100" w:type="dxa"/>
        <w:right w:w="115" w:type="dxa"/>
      </w:tblCellMar>
    </w:tblPr>
  </w:style>
  <w:style w:type="table" w:customStyle="1" w:styleId="affffd">
    <w:basedOn w:val="TableNormal0"/>
    <w:tblPr>
      <w:tblStyleRowBandSize w:val="1"/>
      <w:tblStyleColBandSize w:val="1"/>
      <w:tblCellMar>
        <w:top w:w="100" w:type="dxa"/>
        <w:left w:w="115" w:type="dxa"/>
        <w:bottom w:w="100" w:type="dxa"/>
        <w:right w:w="115" w:type="dxa"/>
      </w:tblCellMar>
    </w:tblPr>
  </w:style>
  <w:style w:type="paragraph" w:styleId="Descripcin">
    <w:name w:val="caption"/>
    <w:basedOn w:val="Normal"/>
    <w:next w:val="Normal"/>
    <w:unhideWhenUsed/>
    <w:qFormat/>
    <w:rsid w:val="00814515"/>
    <w:pPr>
      <w:spacing w:after="200" w:line="240" w:lineRule="auto"/>
    </w:pPr>
    <w:rPr>
      <w:rFonts w:ascii="Times New Roman" w:eastAsia="Times New Roman" w:hAnsi="Times New Roman" w:cs="Times New Roman"/>
      <w:i/>
      <w:iCs/>
      <w:color w:val="44546A" w:themeColor="text2"/>
      <w:sz w:val="18"/>
      <w:szCs w:val="18"/>
    </w:rPr>
  </w:style>
  <w:style w:type="table" w:styleId="Tablaconcuadrcula">
    <w:name w:val="Table Grid"/>
    <w:basedOn w:val="Tablanormal"/>
    <w:uiPriority w:val="59"/>
    <w:rsid w:val="00814515"/>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53061E"/>
  </w:style>
  <w:style w:type="numbering" w:customStyle="1" w:styleId="Estiloimportado13">
    <w:name w:val="Estilo importado 13"/>
    <w:rsid w:val="001F7890"/>
    <w:pPr>
      <w:numPr>
        <w:numId w:val="12"/>
      </w:numPr>
    </w:pPr>
  </w:style>
  <w:style w:type="table" w:styleId="Cuadrculadetablaclara">
    <w:name w:val="Grid Table Light"/>
    <w:basedOn w:val="Tablanormal"/>
    <w:uiPriority w:val="40"/>
    <w:rsid w:val="001F78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WW-Predeterminado">
    <w:name w:val="WW-Predeterminado"/>
    <w:uiPriority w:val="99"/>
    <w:rsid w:val="00725813"/>
    <w:pPr>
      <w:suppressAutoHyphens/>
      <w:spacing w:after="0" w:line="240" w:lineRule="auto"/>
    </w:pPr>
    <w:rPr>
      <w:rFonts w:ascii="Times New Roman" w:eastAsia="Times New Roman" w:hAnsi="Times New Roman" w:cs="Times New Roman"/>
      <w:sz w:val="24"/>
      <w:szCs w:val="20"/>
      <w:lang w:val="es-ES" w:eastAsia="ar-SA"/>
    </w:rPr>
  </w:style>
  <w:style w:type="character" w:customStyle="1" w:styleId="PrrafodelistaCar">
    <w:name w:val="Párrafo de lista Car"/>
    <w:aliases w:val="Bullet 1 Car,Use Case List Paragraph Car,lp1 Car,Viñetas Car,3 Car"/>
    <w:link w:val="Prrafodelista"/>
    <w:uiPriority w:val="34"/>
    <w:rsid w:val="003A0589"/>
  </w:style>
  <w:style w:type="character" w:customStyle="1" w:styleId="Ttulo9Car">
    <w:name w:val="Título 9 Car"/>
    <w:basedOn w:val="Fuentedeprrafopredeter"/>
    <w:link w:val="Ttulo9"/>
    <w:rsid w:val="003D71A3"/>
    <w:rPr>
      <w:rFonts w:ascii="Cambria" w:eastAsia="Times New Roman" w:hAnsi="Cambria" w:cs="Times New Roman"/>
      <w:lang w:val="es-ES_tradnl" w:eastAsia="es-ES"/>
    </w:rPr>
  </w:style>
  <w:style w:type="character" w:customStyle="1" w:styleId="WW-Fuentedeprrafopredeter">
    <w:name w:val="WW-Fuente de párrafo predeter."/>
    <w:rsid w:val="003D71A3"/>
  </w:style>
  <w:style w:type="character" w:styleId="Nmerodepgina">
    <w:name w:val="page number"/>
    <w:basedOn w:val="WW-Fuentedeprrafopredeter"/>
    <w:rsid w:val="003D71A3"/>
  </w:style>
  <w:style w:type="character" w:customStyle="1" w:styleId="WW8Num1z0">
    <w:name w:val="WW8Num1z0"/>
    <w:rsid w:val="003D71A3"/>
    <w:rPr>
      <w:rFonts w:ascii="Symbol" w:hAnsi="Symbol"/>
    </w:rPr>
  </w:style>
  <w:style w:type="character" w:customStyle="1" w:styleId="WW8Num2z0">
    <w:name w:val="WW8Num2z0"/>
    <w:rsid w:val="003D71A3"/>
    <w:rPr>
      <w:b/>
    </w:rPr>
  </w:style>
  <w:style w:type="character" w:customStyle="1" w:styleId="WW8Num12z0">
    <w:name w:val="WW8Num12z0"/>
    <w:rsid w:val="003D71A3"/>
    <w:rPr>
      <w:i/>
    </w:rPr>
  </w:style>
  <w:style w:type="character" w:customStyle="1" w:styleId="WW8Num13z0">
    <w:name w:val="WW8Num13z0"/>
    <w:rsid w:val="003D71A3"/>
    <w:rPr>
      <w:rFonts w:ascii="Symbol" w:hAnsi="Symbol"/>
    </w:rPr>
  </w:style>
  <w:style w:type="paragraph" w:customStyle="1" w:styleId="Encabezado1">
    <w:name w:val="Encabezado1"/>
    <w:basedOn w:val="Normal"/>
    <w:next w:val="Textoindependiente"/>
    <w:rsid w:val="003D71A3"/>
    <w:pPr>
      <w:keepNext/>
      <w:suppressAutoHyphens/>
      <w:spacing w:before="240" w:after="120" w:line="240" w:lineRule="auto"/>
    </w:pPr>
    <w:rPr>
      <w:rFonts w:ascii="Albany" w:eastAsia="HG Mincho Light J" w:hAnsi="Albany" w:cs="Times New Roman"/>
      <w:sz w:val="28"/>
      <w:szCs w:val="20"/>
      <w:lang w:val="es-ES_tradnl" w:eastAsia="es-ES"/>
    </w:rPr>
  </w:style>
  <w:style w:type="paragraph" w:customStyle="1" w:styleId="WW-Sangra2detindependiente">
    <w:name w:val="WW-Sangría 2 de t. independiente"/>
    <w:basedOn w:val="Normal"/>
    <w:rsid w:val="003D71A3"/>
    <w:pPr>
      <w:suppressAutoHyphens/>
      <w:spacing w:after="0" w:line="240" w:lineRule="auto"/>
      <w:ind w:left="426" w:hanging="426"/>
      <w:jc w:val="both"/>
    </w:pPr>
    <w:rPr>
      <w:rFonts w:ascii="Arial Rounded MT Bold" w:eastAsia="Times New Roman" w:hAnsi="Arial Rounded MT Bold" w:cs="Times New Roman"/>
      <w:sz w:val="24"/>
      <w:szCs w:val="20"/>
      <w:lang w:val="es-ES_tradnl" w:eastAsia="es-ES"/>
    </w:rPr>
  </w:style>
  <w:style w:type="paragraph" w:customStyle="1" w:styleId="WW-Sangra3detindependiente">
    <w:name w:val="WW-Sangría 3 de t. independiente"/>
    <w:basedOn w:val="Normal"/>
    <w:rsid w:val="003D71A3"/>
    <w:pPr>
      <w:suppressAutoHyphens/>
      <w:spacing w:before="120" w:after="120" w:line="240" w:lineRule="auto"/>
      <w:ind w:left="426" w:firstLine="1"/>
      <w:jc w:val="both"/>
    </w:pPr>
    <w:rPr>
      <w:rFonts w:ascii="Arial Rounded MT Bold" w:eastAsia="Times New Roman" w:hAnsi="Arial Rounded MT Bold" w:cs="Times New Roman"/>
      <w:sz w:val="24"/>
      <w:szCs w:val="20"/>
      <w:lang w:val="es-ES_tradnl" w:eastAsia="es-ES"/>
    </w:rPr>
  </w:style>
  <w:style w:type="paragraph" w:customStyle="1" w:styleId="Contenidodelatabla">
    <w:name w:val="Contenido de la tabla"/>
    <w:basedOn w:val="Textoindependiente"/>
    <w:rsid w:val="003D71A3"/>
    <w:pPr>
      <w:suppressLineNumbers/>
      <w:suppressAutoHyphens/>
      <w:spacing w:after="0"/>
      <w:jc w:val="both"/>
    </w:pPr>
    <w:rPr>
      <w:rFonts w:ascii="Arial Rounded MT Bold" w:hAnsi="Arial Rounded MT Bold"/>
      <w:szCs w:val="20"/>
      <w:lang w:val="es-ES_tradnl" w:eastAsia="es-ES"/>
    </w:rPr>
  </w:style>
  <w:style w:type="paragraph" w:customStyle="1" w:styleId="Encabezadodelatabla">
    <w:name w:val="Encabezado de la tabla"/>
    <w:basedOn w:val="Contenidodelatabla"/>
    <w:rsid w:val="003D71A3"/>
    <w:pPr>
      <w:jc w:val="center"/>
    </w:pPr>
    <w:rPr>
      <w:b/>
      <w:i/>
    </w:rPr>
  </w:style>
  <w:style w:type="character" w:customStyle="1" w:styleId="TtuloCar">
    <w:name w:val="Título Car"/>
    <w:basedOn w:val="Fuentedeprrafopredeter"/>
    <w:link w:val="Ttulo"/>
    <w:uiPriority w:val="10"/>
    <w:rsid w:val="003D71A3"/>
    <w:rPr>
      <w:b/>
      <w:sz w:val="72"/>
      <w:szCs w:val="72"/>
    </w:rPr>
  </w:style>
  <w:style w:type="character" w:customStyle="1" w:styleId="SubttuloCar">
    <w:name w:val="Subtítulo Car"/>
    <w:basedOn w:val="Fuentedeprrafopredeter"/>
    <w:link w:val="Subttulo"/>
    <w:uiPriority w:val="11"/>
    <w:rsid w:val="003D71A3"/>
    <w:rPr>
      <w:rFonts w:ascii="Georgia" w:eastAsia="Georgia" w:hAnsi="Georgia" w:cs="Georgia"/>
      <w:i/>
      <w:color w:val="666666"/>
      <w:sz w:val="48"/>
      <w:szCs w:val="48"/>
    </w:rPr>
  </w:style>
  <w:style w:type="paragraph" w:styleId="Sinespaciado">
    <w:name w:val="No Spacing"/>
    <w:link w:val="SinespaciadoCar"/>
    <w:uiPriority w:val="1"/>
    <w:qFormat/>
    <w:rsid w:val="003D71A3"/>
    <w:pPr>
      <w:spacing w:after="0" w:line="240" w:lineRule="auto"/>
    </w:pPr>
    <w:rPr>
      <w:rFonts w:asciiTheme="minorHAnsi" w:eastAsiaTheme="minorEastAsia" w:hAnsiTheme="minorHAnsi" w:cstheme="minorBidi"/>
    </w:rPr>
  </w:style>
  <w:style w:type="character" w:customStyle="1" w:styleId="SinespaciadoCar">
    <w:name w:val="Sin espaciado Car"/>
    <w:basedOn w:val="Fuentedeprrafopredeter"/>
    <w:link w:val="Sinespaciado"/>
    <w:uiPriority w:val="1"/>
    <w:rsid w:val="003D71A3"/>
    <w:rPr>
      <w:rFonts w:asciiTheme="minorHAnsi" w:eastAsiaTheme="minorEastAsia" w:hAnsiTheme="minorHAnsi" w:cstheme="minorBidi"/>
    </w:rPr>
  </w:style>
  <w:style w:type="paragraph" w:customStyle="1" w:styleId="Default">
    <w:name w:val="Default"/>
    <w:rsid w:val="003D71A3"/>
    <w:pPr>
      <w:autoSpaceDE w:val="0"/>
      <w:autoSpaceDN w:val="0"/>
      <w:adjustRightInd w:val="0"/>
      <w:spacing w:after="0" w:line="240" w:lineRule="auto"/>
    </w:pPr>
    <w:rPr>
      <w:rFonts w:eastAsiaTheme="minorHAnsi"/>
      <w:color w:val="000000"/>
      <w:sz w:val="24"/>
      <w:szCs w:val="24"/>
      <w:lang w:eastAsia="en-US"/>
    </w:rPr>
  </w:style>
  <w:style w:type="table" w:customStyle="1" w:styleId="Tabladecuadrcula1clara-nfasis52">
    <w:name w:val="Tabla de cuadrícula 1 clara - Énfasis 52"/>
    <w:basedOn w:val="Tablanormal"/>
    <w:uiPriority w:val="46"/>
    <w:rsid w:val="003D71A3"/>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decuadrcula1clara-nfasis11">
    <w:name w:val="Tabla de cuadrícula 1 clara - Énfasis 11"/>
    <w:basedOn w:val="Tablanormal"/>
    <w:uiPriority w:val="46"/>
    <w:rsid w:val="003D71A3"/>
    <w:pPr>
      <w:spacing w:after="0" w:line="240" w:lineRule="auto"/>
    </w:pPr>
    <w:rPr>
      <w:rFonts w:asciiTheme="minorHAnsi" w:eastAsiaTheme="minorHAnsi" w:hAnsiTheme="minorHAnsi" w:cstheme="minorBidi"/>
      <w:lang w:val="en-US"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decuadrcula1clara-nfasis12">
    <w:name w:val="Tabla de cuadrícula 1 clara - Énfasis 12"/>
    <w:basedOn w:val="Tablanormal"/>
    <w:uiPriority w:val="46"/>
    <w:rsid w:val="003D71A3"/>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Cuerpodetexto">
    <w:name w:val="Cuerpo de texto"/>
    <w:basedOn w:val="Normal"/>
    <w:rsid w:val="003D71A3"/>
    <w:pPr>
      <w:tabs>
        <w:tab w:val="left" w:pos="9356"/>
      </w:tabs>
      <w:suppressAutoHyphens/>
      <w:spacing w:after="0" w:line="240" w:lineRule="auto"/>
      <w:ind w:right="6"/>
      <w:jc w:val="both"/>
    </w:pPr>
    <w:rPr>
      <w:rFonts w:ascii="Arial" w:eastAsia="Times New Roman" w:hAnsi="Arial" w:cs="Times New Roman"/>
      <w:color w:val="000000"/>
      <w:sz w:val="24"/>
      <w:szCs w:val="20"/>
      <w:lang w:val="en-US" w:eastAsia="es-ES"/>
    </w:rPr>
  </w:style>
  <w:style w:type="character" w:customStyle="1" w:styleId="Ttulo7Car">
    <w:name w:val="Título 7 Car"/>
    <w:basedOn w:val="Fuentedeprrafopredeter"/>
    <w:link w:val="Ttulo7"/>
    <w:semiHidden/>
    <w:rsid w:val="00F27AC4"/>
    <w:rPr>
      <w:rFonts w:ascii="Courier New" w:eastAsiaTheme="majorEastAsia" w:hAnsi="Courier New" w:cstheme="majorBidi"/>
      <w:color w:val="595959" w:themeColor="text1" w:themeTint="A6"/>
      <w:sz w:val="20"/>
      <w:szCs w:val="20"/>
      <w:lang w:val="es-ES_tradnl" w:eastAsia="es-ES"/>
    </w:rPr>
  </w:style>
  <w:style w:type="character" w:customStyle="1" w:styleId="Ttulo8Car">
    <w:name w:val="Título 8 Car"/>
    <w:basedOn w:val="Fuentedeprrafopredeter"/>
    <w:link w:val="Ttulo8"/>
    <w:semiHidden/>
    <w:rsid w:val="00F27AC4"/>
    <w:rPr>
      <w:rFonts w:ascii="Courier New" w:eastAsiaTheme="majorEastAsia" w:hAnsi="Courier New" w:cstheme="majorBidi"/>
      <w:i/>
      <w:iCs/>
      <w:color w:val="272727" w:themeColor="text1" w:themeTint="D8"/>
      <w:sz w:val="20"/>
      <w:szCs w:val="20"/>
      <w:lang w:val="es-ES_tradnl" w:eastAsia="es-ES"/>
    </w:rPr>
  </w:style>
  <w:style w:type="character" w:customStyle="1" w:styleId="Ttulo3Car">
    <w:name w:val="Título 3 Car"/>
    <w:basedOn w:val="Fuentedeprrafopredeter"/>
    <w:link w:val="Ttulo3"/>
    <w:rsid w:val="00F27AC4"/>
    <w:rPr>
      <w:b/>
      <w:sz w:val="28"/>
      <w:szCs w:val="28"/>
    </w:rPr>
  </w:style>
  <w:style w:type="character" w:customStyle="1" w:styleId="Ttulo4Car">
    <w:name w:val="Título 4 Car"/>
    <w:basedOn w:val="Fuentedeprrafopredeter"/>
    <w:link w:val="Ttulo4"/>
    <w:uiPriority w:val="9"/>
    <w:rsid w:val="00F27AC4"/>
    <w:rPr>
      <w:b/>
      <w:sz w:val="24"/>
      <w:szCs w:val="24"/>
    </w:rPr>
  </w:style>
  <w:style w:type="character" w:customStyle="1" w:styleId="Ttulo5Car">
    <w:name w:val="Título 5 Car"/>
    <w:basedOn w:val="Fuentedeprrafopredeter"/>
    <w:link w:val="Ttulo5"/>
    <w:uiPriority w:val="9"/>
    <w:rsid w:val="00F27AC4"/>
    <w:rPr>
      <w:b/>
    </w:rPr>
  </w:style>
  <w:style w:type="character" w:customStyle="1" w:styleId="Ttulo6Car">
    <w:name w:val="Título 6 Car"/>
    <w:basedOn w:val="Fuentedeprrafopredeter"/>
    <w:link w:val="Ttulo6"/>
    <w:uiPriority w:val="9"/>
    <w:rsid w:val="00F27AC4"/>
    <w:rPr>
      <w:b/>
      <w:sz w:val="20"/>
      <w:szCs w:val="20"/>
    </w:rPr>
  </w:style>
  <w:style w:type="paragraph" w:styleId="Cita">
    <w:name w:val="Quote"/>
    <w:basedOn w:val="Normal"/>
    <w:next w:val="Normal"/>
    <w:link w:val="CitaCar"/>
    <w:uiPriority w:val="29"/>
    <w:qFormat/>
    <w:rsid w:val="00F27AC4"/>
    <w:pPr>
      <w:spacing w:before="160" w:after="0" w:line="240" w:lineRule="auto"/>
      <w:jc w:val="center"/>
    </w:pPr>
    <w:rPr>
      <w:rFonts w:ascii="Courier New" w:eastAsia="Times New Roman" w:hAnsi="Courier New" w:cs="Times New Roman"/>
      <w:i/>
      <w:iCs/>
      <w:color w:val="404040" w:themeColor="text1" w:themeTint="BF"/>
      <w:sz w:val="20"/>
      <w:szCs w:val="20"/>
      <w:lang w:val="es-ES_tradnl" w:eastAsia="es-ES"/>
    </w:rPr>
  </w:style>
  <w:style w:type="character" w:customStyle="1" w:styleId="CitaCar">
    <w:name w:val="Cita Car"/>
    <w:basedOn w:val="Fuentedeprrafopredeter"/>
    <w:link w:val="Cita"/>
    <w:uiPriority w:val="29"/>
    <w:rsid w:val="00F27AC4"/>
    <w:rPr>
      <w:rFonts w:ascii="Courier New" w:eastAsia="Times New Roman" w:hAnsi="Courier New" w:cs="Times New Roman"/>
      <w:i/>
      <w:iCs/>
      <w:color w:val="404040" w:themeColor="text1" w:themeTint="BF"/>
      <w:sz w:val="20"/>
      <w:szCs w:val="20"/>
      <w:lang w:val="es-ES_tradnl" w:eastAsia="es-ES"/>
    </w:rPr>
  </w:style>
  <w:style w:type="character" w:styleId="nfasisintenso">
    <w:name w:val="Intense Emphasis"/>
    <w:basedOn w:val="Fuentedeprrafopredeter"/>
    <w:uiPriority w:val="21"/>
    <w:qFormat/>
    <w:rsid w:val="00F27AC4"/>
    <w:rPr>
      <w:i/>
      <w:iCs/>
      <w:color w:val="2F5496" w:themeColor="accent1" w:themeShade="BF"/>
    </w:rPr>
  </w:style>
  <w:style w:type="paragraph" w:styleId="Citadestacada">
    <w:name w:val="Intense Quote"/>
    <w:basedOn w:val="Normal"/>
    <w:next w:val="Normal"/>
    <w:link w:val="CitadestacadaCar"/>
    <w:uiPriority w:val="30"/>
    <w:qFormat/>
    <w:rsid w:val="00F27AC4"/>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Courier New" w:eastAsia="Times New Roman" w:hAnsi="Courier New" w:cs="Times New Roman"/>
      <w:i/>
      <w:iCs/>
      <w:color w:val="2F5496" w:themeColor="accent1" w:themeShade="BF"/>
      <w:sz w:val="20"/>
      <w:szCs w:val="20"/>
      <w:lang w:val="es-ES_tradnl" w:eastAsia="es-ES"/>
    </w:rPr>
  </w:style>
  <w:style w:type="character" w:customStyle="1" w:styleId="CitadestacadaCar">
    <w:name w:val="Cita destacada Car"/>
    <w:basedOn w:val="Fuentedeprrafopredeter"/>
    <w:link w:val="Citadestacada"/>
    <w:uiPriority w:val="30"/>
    <w:rsid w:val="00F27AC4"/>
    <w:rPr>
      <w:rFonts w:ascii="Courier New" w:eastAsia="Times New Roman" w:hAnsi="Courier New" w:cs="Times New Roman"/>
      <w:i/>
      <w:iCs/>
      <w:color w:val="2F5496" w:themeColor="accent1" w:themeShade="BF"/>
      <w:sz w:val="20"/>
      <w:szCs w:val="20"/>
      <w:lang w:val="es-ES_tradnl" w:eastAsia="es-ES"/>
    </w:rPr>
  </w:style>
  <w:style w:type="character" w:styleId="Referenciaintensa">
    <w:name w:val="Intense Reference"/>
    <w:basedOn w:val="Fuentedeprrafopredeter"/>
    <w:uiPriority w:val="32"/>
    <w:qFormat/>
    <w:rsid w:val="00F27AC4"/>
    <w:rPr>
      <w:b/>
      <w:bCs/>
      <w:smallCaps/>
      <w:color w:val="2F5496" w:themeColor="accent1" w:themeShade="BF"/>
      <w:spacing w:val="5"/>
    </w:rPr>
  </w:style>
  <w:style w:type="character" w:styleId="Nmerodelnea">
    <w:name w:val="line number"/>
    <w:basedOn w:val="Fuentedeprrafopredeter"/>
    <w:rsid w:val="00F27AC4"/>
  </w:style>
  <w:style w:type="paragraph" w:styleId="TDC3">
    <w:name w:val="toc 3"/>
    <w:basedOn w:val="Normal"/>
    <w:next w:val="Normal"/>
    <w:autoRedefine/>
    <w:uiPriority w:val="39"/>
    <w:unhideWhenUsed/>
    <w:qFormat/>
    <w:rsid w:val="00F27AC4"/>
    <w:pPr>
      <w:spacing w:after="100" w:line="276" w:lineRule="auto"/>
      <w:ind w:left="440"/>
    </w:pPr>
    <w:rPr>
      <w:rFonts w:eastAsia="Times New Roman" w:cs="Times New Roman"/>
      <w:lang w:val="es-ES"/>
    </w:rPr>
  </w:style>
  <w:style w:type="paragraph" w:styleId="Lista2">
    <w:name w:val="List 2"/>
    <w:basedOn w:val="Normal"/>
    <w:rsid w:val="00F27AC4"/>
    <w:pPr>
      <w:spacing w:after="0" w:line="240" w:lineRule="auto"/>
      <w:ind w:left="566" w:hanging="283"/>
    </w:pPr>
    <w:rPr>
      <w:rFonts w:ascii="Arial" w:eastAsia="Times New Roman" w:hAnsi="Arial" w:cs="Times New Roman"/>
      <w:sz w:val="24"/>
      <w:szCs w:val="24"/>
      <w:lang w:val="es-ES" w:eastAsia="es-ES"/>
    </w:rPr>
  </w:style>
  <w:style w:type="paragraph" w:styleId="Saludo">
    <w:name w:val="Salutation"/>
    <w:basedOn w:val="Normal"/>
    <w:next w:val="Normal"/>
    <w:link w:val="SaludoCar"/>
    <w:uiPriority w:val="99"/>
    <w:rsid w:val="00F27AC4"/>
    <w:pPr>
      <w:spacing w:after="0" w:line="240" w:lineRule="auto"/>
    </w:pPr>
    <w:rPr>
      <w:rFonts w:ascii="Arial" w:eastAsia="Times New Roman" w:hAnsi="Arial" w:cs="Times New Roman"/>
      <w:sz w:val="24"/>
      <w:szCs w:val="24"/>
      <w:lang w:val="es-ES" w:eastAsia="es-ES"/>
    </w:rPr>
  </w:style>
  <w:style w:type="character" w:customStyle="1" w:styleId="SaludoCar">
    <w:name w:val="Saludo Car"/>
    <w:basedOn w:val="Fuentedeprrafopredeter"/>
    <w:link w:val="Saludo"/>
    <w:uiPriority w:val="99"/>
    <w:rsid w:val="00F27AC4"/>
    <w:rPr>
      <w:rFonts w:ascii="Arial" w:eastAsia="Times New Roman" w:hAnsi="Arial" w:cs="Times New Roman"/>
      <w:sz w:val="24"/>
      <w:szCs w:val="24"/>
      <w:lang w:val="es-ES" w:eastAsia="es-ES"/>
    </w:rPr>
  </w:style>
  <w:style w:type="paragraph" w:styleId="Continuarlista">
    <w:name w:val="List Continue"/>
    <w:basedOn w:val="Normal"/>
    <w:rsid w:val="00F27AC4"/>
    <w:pPr>
      <w:spacing w:after="120" w:line="240" w:lineRule="auto"/>
      <w:ind w:left="283"/>
    </w:pPr>
    <w:rPr>
      <w:rFonts w:ascii="Arial" w:eastAsia="Times New Roman" w:hAnsi="Arial" w:cs="Times New Roman"/>
      <w:sz w:val="24"/>
      <w:szCs w:val="24"/>
      <w:lang w:val="es-ES" w:eastAsia="es-ES"/>
    </w:rPr>
  </w:style>
  <w:style w:type="paragraph" w:styleId="Textosinformato">
    <w:name w:val="Plain Text"/>
    <w:basedOn w:val="Normal"/>
    <w:link w:val="TextosinformatoCar"/>
    <w:rsid w:val="00F27AC4"/>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F27AC4"/>
    <w:rPr>
      <w:rFonts w:ascii="Courier New" w:eastAsia="Times New Roman" w:hAnsi="Courier New" w:cs="Times New Roman"/>
      <w:sz w:val="20"/>
      <w:szCs w:val="20"/>
      <w:lang w:val="es-ES" w:eastAsia="es-ES"/>
    </w:rPr>
  </w:style>
  <w:style w:type="paragraph" w:styleId="Lista">
    <w:name w:val="List"/>
    <w:basedOn w:val="Normal"/>
    <w:uiPriority w:val="99"/>
    <w:unhideWhenUsed/>
    <w:rsid w:val="00F27AC4"/>
    <w:pPr>
      <w:spacing w:after="0" w:line="240" w:lineRule="auto"/>
      <w:ind w:left="283" w:hanging="283"/>
      <w:contextualSpacing/>
    </w:pPr>
    <w:rPr>
      <w:rFonts w:ascii="Arial" w:eastAsia="Times New Roman" w:hAnsi="Arial" w:cs="Times New Roman"/>
      <w:sz w:val="24"/>
      <w:szCs w:val="24"/>
      <w:lang w:val="es-ES" w:eastAsia="es-ES"/>
    </w:rPr>
  </w:style>
  <w:style w:type="paragraph" w:customStyle="1" w:styleId="continuarlista1">
    <w:name w:val="continuarlista1"/>
    <w:basedOn w:val="Normal"/>
    <w:rsid w:val="00F27A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a21">
    <w:name w:val="lista21"/>
    <w:basedOn w:val="Normal"/>
    <w:rsid w:val="00F27AC4"/>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2">
    <w:name w:val="Body Text 2"/>
    <w:basedOn w:val="Normal"/>
    <w:link w:val="Textoindependiente2Car"/>
    <w:unhideWhenUsed/>
    <w:rsid w:val="00F27AC4"/>
    <w:pPr>
      <w:spacing w:after="120" w:line="480" w:lineRule="auto"/>
    </w:pPr>
    <w:rPr>
      <w:rFonts w:ascii="Arial" w:eastAsia="Times New Roman" w:hAnsi="Arial" w:cs="Times New Roman"/>
      <w:sz w:val="24"/>
      <w:szCs w:val="24"/>
      <w:lang w:val="es-ES" w:eastAsia="es-ES"/>
    </w:rPr>
  </w:style>
  <w:style w:type="character" w:customStyle="1" w:styleId="Textoindependiente2Car">
    <w:name w:val="Texto independiente 2 Car"/>
    <w:basedOn w:val="Fuentedeprrafopredeter"/>
    <w:link w:val="Textoindependiente2"/>
    <w:rsid w:val="00F27AC4"/>
    <w:rPr>
      <w:rFonts w:ascii="Arial" w:eastAsia="Times New Roman" w:hAnsi="Arial" w:cs="Times New Roman"/>
      <w:sz w:val="24"/>
      <w:szCs w:val="24"/>
      <w:lang w:val="es-ES" w:eastAsia="es-ES"/>
    </w:rPr>
  </w:style>
  <w:style w:type="paragraph" w:customStyle="1" w:styleId="ListaCc">
    <w:name w:val="Lista Cc."/>
    <w:basedOn w:val="Normal"/>
    <w:rsid w:val="00F27AC4"/>
    <w:pPr>
      <w:spacing w:after="0" w:line="240" w:lineRule="auto"/>
    </w:pPr>
    <w:rPr>
      <w:rFonts w:ascii="Arial" w:eastAsia="Times New Roman" w:hAnsi="Arial" w:cs="Times New Roman"/>
      <w:sz w:val="24"/>
      <w:szCs w:val="20"/>
      <w:lang w:val="es-ES_tradnl" w:eastAsia="ja-JP"/>
    </w:rPr>
  </w:style>
  <w:style w:type="character" w:customStyle="1" w:styleId="Caracteresdenotaalpie">
    <w:name w:val="Caracteres de nota al pie"/>
    <w:rsid w:val="00F27AC4"/>
    <w:rPr>
      <w:vertAlign w:val="superscript"/>
    </w:rPr>
  </w:style>
  <w:style w:type="character" w:customStyle="1" w:styleId="Refdenotaalpie5">
    <w:name w:val="Ref. de nota al pie5"/>
    <w:rsid w:val="00F27AC4"/>
    <w:rPr>
      <w:vertAlign w:val="superscript"/>
    </w:rPr>
  </w:style>
  <w:style w:type="character" w:customStyle="1" w:styleId="Refdenotaalpie6">
    <w:name w:val="Ref. de nota al pie6"/>
    <w:rsid w:val="00F27AC4"/>
    <w:rPr>
      <w:vertAlign w:val="superscript"/>
    </w:rPr>
  </w:style>
  <w:style w:type="character" w:customStyle="1" w:styleId="Refdecomentario1">
    <w:name w:val="Ref. de comentario1"/>
    <w:rsid w:val="00F27AC4"/>
    <w:rPr>
      <w:sz w:val="16"/>
      <w:szCs w:val="16"/>
    </w:rPr>
  </w:style>
  <w:style w:type="paragraph" w:customStyle="1" w:styleId="WW-Textoindependiente2">
    <w:name w:val="WW-Texto independiente 2"/>
    <w:basedOn w:val="Normal"/>
    <w:rsid w:val="00F27AC4"/>
    <w:pPr>
      <w:widowControl w:val="0"/>
      <w:tabs>
        <w:tab w:val="left" w:pos="720"/>
        <w:tab w:val="left" w:pos="2160"/>
        <w:tab w:val="left" w:pos="3168"/>
        <w:tab w:val="left" w:pos="4176"/>
      </w:tabs>
      <w:suppressAutoHyphens/>
      <w:spacing w:after="0" w:line="240" w:lineRule="auto"/>
      <w:jc w:val="both"/>
    </w:pPr>
    <w:rPr>
      <w:rFonts w:ascii="Courier New" w:eastAsia="Times New Roman" w:hAnsi="Courier New" w:cs="Courier New"/>
      <w:spacing w:val="-3"/>
      <w:sz w:val="24"/>
      <w:szCs w:val="20"/>
      <w:lang w:val="es-ES_tradnl" w:eastAsia="zh-CN"/>
    </w:rPr>
  </w:style>
  <w:style w:type="paragraph" w:customStyle="1" w:styleId="Sangra2detindependiente2">
    <w:name w:val="Sangría 2 de t. independiente2"/>
    <w:basedOn w:val="Normal"/>
    <w:rsid w:val="00F27AC4"/>
    <w:pPr>
      <w:widowControl w:val="0"/>
      <w:tabs>
        <w:tab w:val="left" w:pos="576"/>
        <w:tab w:val="left" w:pos="993"/>
        <w:tab w:val="left" w:pos="1134"/>
        <w:tab w:val="left" w:pos="1719"/>
        <w:tab w:val="left" w:pos="2295"/>
        <w:tab w:val="left" w:pos="2880"/>
        <w:tab w:val="left" w:pos="3456"/>
        <w:tab w:val="left" w:pos="4032"/>
        <w:tab w:val="left" w:pos="4608"/>
        <w:tab w:val="left" w:pos="5175"/>
        <w:tab w:val="left" w:pos="5760"/>
        <w:tab w:val="left" w:pos="6336"/>
        <w:tab w:val="left" w:pos="6912"/>
        <w:tab w:val="left" w:pos="7488"/>
        <w:tab w:val="left" w:pos="8055"/>
        <w:tab w:val="left" w:pos="8640"/>
      </w:tabs>
      <w:suppressAutoHyphens/>
      <w:spacing w:after="0" w:line="240" w:lineRule="auto"/>
      <w:ind w:left="936"/>
      <w:jc w:val="both"/>
    </w:pPr>
    <w:rPr>
      <w:rFonts w:ascii="Arial" w:eastAsia="Times New Roman" w:hAnsi="Arial" w:cs="Arial"/>
      <w:sz w:val="24"/>
      <w:szCs w:val="20"/>
      <w:lang w:val="es-ES_tradnl" w:eastAsia="zh-CN"/>
    </w:rPr>
  </w:style>
  <w:style w:type="paragraph" w:customStyle="1" w:styleId="Prrafodelista1">
    <w:name w:val="Párrafo de lista1"/>
    <w:basedOn w:val="Normal"/>
    <w:rsid w:val="00F27AC4"/>
    <w:pPr>
      <w:widowControl w:val="0"/>
      <w:suppressAutoHyphens/>
      <w:spacing w:after="0" w:line="240" w:lineRule="auto"/>
      <w:ind w:left="708"/>
    </w:pPr>
    <w:rPr>
      <w:rFonts w:ascii="Courier New" w:eastAsia="Times New Roman" w:hAnsi="Courier New" w:cs="Courier New"/>
      <w:sz w:val="24"/>
      <w:szCs w:val="20"/>
      <w:lang w:val="es-ES_tradnl" w:eastAsia="zh-CN"/>
    </w:rPr>
  </w:style>
  <w:style w:type="character" w:styleId="Textoennegrita">
    <w:name w:val="Strong"/>
    <w:uiPriority w:val="22"/>
    <w:qFormat/>
    <w:rsid w:val="00F27AC4"/>
    <w:rPr>
      <w:b/>
      <w:bCs/>
    </w:rPr>
  </w:style>
  <w:style w:type="paragraph" w:customStyle="1" w:styleId="Pa24">
    <w:name w:val="Pa24"/>
    <w:basedOn w:val="Default"/>
    <w:next w:val="Default"/>
    <w:uiPriority w:val="99"/>
    <w:rsid w:val="00F27AC4"/>
    <w:rPr>
      <w:rFonts w:ascii="Arial Narrow" w:eastAsia="Times New Roman" w:hAnsi="Arial Narrow" w:cs="Arial Narrow"/>
      <w:lang w:val="en-US"/>
    </w:rPr>
  </w:style>
  <w:style w:type="character" w:customStyle="1" w:styleId="A40">
    <w:name w:val="A4"/>
    <w:uiPriority w:val="99"/>
    <w:rsid w:val="00F27AC4"/>
    <w:rPr>
      <w:rFonts w:cs="StempelGaramond Roman"/>
      <w:color w:val="000000"/>
      <w:sz w:val="20"/>
      <w:szCs w:val="20"/>
    </w:rPr>
  </w:style>
  <w:style w:type="character" w:customStyle="1" w:styleId="apple-converted-space">
    <w:name w:val="apple-converted-space"/>
    <w:rsid w:val="00F27AC4"/>
  </w:style>
  <w:style w:type="paragraph" w:customStyle="1" w:styleId="BodyText21">
    <w:name w:val="Body Text 21"/>
    <w:basedOn w:val="Normal"/>
    <w:uiPriority w:val="99"/>
    <w:rsid w:val="00F27AC4"/>
    <w:pPr>
      <w:tabs>
        <w:tab w:val="left" w:pos="0"/>
        <w:tab w:val="right" w:pos="4731"/>
      </w:tabs>
      <w:overflowPunct w:val="0"/>
      <w:autoSpaceDE w:val="0"/>
      <w:autoSpaceDN w:val="0"/>
      <w:adjustRightInd w:val="0"/>
      <w:spacing w:after="0" w:line="240" w:lineRule="auto"/>
      <w:ind w:firstLine="188"/>
      <w:jc w:val="both"/>
      <w:textAlignment w:val="baseline"/>
    </w:pPr>
    <w:rPr>
      <w:rFonts w:ascii="Times New Roman" w:eastAsia="Times New Roman" w:hAnsi="Times New Roman" w:cs="Times New Roman"/>
      <w:lang w:val="es-ES_tradnl"/>
    </w:rPr>
  </w:style>
  <w:style w:type="character" w:styleId="nfasis">
    <w:name w:val="Emphasis"/>
    <w:rsid w:val="00F27AC4"/>
    <w:rPr>
      <w:rFonts w:ascii="Cambria" w:eastAsia="Times New Roman" w:hAnsi="Cambria" w:cs="Times New Roman"/>
      <w:b/>
      <w:bCs/>
      <w:iCs/>
      <w:sz w:val="26"/>
      <w:szCs w:val="26"/>
      <w:lang w:val="es-ES_tradnl" w:eastAsia="es-ES"/>
    </w:rPr>
  </w:style>
  <w:style w:type="paragraph" w:customStyle="1" w:styleId="Estilo1">
    <w:name w:val="Estilo1"/>
    <w:basedOn w:val="Ttulo3"/>
    <w:rsid w:val="00F27AC4"/>
    <w:pPr>
      <w:keepLines w:val="0"/>
      <w:numPr>
        <w:ilvl w:val="2"/>
      </w:numPr>
      <w:spacing w:before="240" w:after="60" w:line="240" w:lineRule="auto"/>
      <w:ind w:left="720" w:hanging="720"/>
    </w:pPr>
    <w:rPr>
      <w:rFonts w:ascii="Cambria" w:eastAsia="Times New Roman" w:hAnsi="Cambria" w:cs="Times New Roman"/>
      <w:b w:val="0"/>
      <w:bCs/>
      <w:sz w:val="24"/>
      <w:szCs w:val="26"/>
      <w:lang w:val="es-ES_tradnl" w:eastAsia="es-ES"/>
    </w:rPr>
  </w:style>
  <w:style w:type="paragraph" w:styleId="TDC4">
    <w:name w:val="toc 4"/>
    <w:basedOn w:val="Normal"/>
    <w:next w:val="Normal"/>
    <w:autoRedefine/>
    <w:uiPriority w:val="39"/>
    <w:rsid w:val="00F27AC4"/>
    <w:pPr>
      <w:spacing w:after="0" w:line="240" w:lineRule="auto"/>
      <w:ind w:left="720"/>
    </w:pPr>
    <w:rPr>
      <w:rFonts w:eastAsia="Times New Roman"/>
      <w:sz w:val="18"/>
      <w:szCs w:val="18"/>
      <w:lang w:val="es-ES_tradnl" w:eastAsia="es-ES"/>
    </w:rPr>
  </w:style>
  <w:style w:type="paragraph" w:styleId="TDC5">
    <w:name w:val="toc 5"/>
    <w:basedOn w:val="Normal"/>
    <w:next w:val="Normal"/>
    <w:autoRedefine/>
    <w:uiPriority w:val="39"/>
    <w:rsid w:val="00F27AC4"/>
    <w:pPr>
      <w:spacing w:after="0" w:line="240" w:lineRule="auto"/>
      <w:ind w:left="960"/>
    </w:pPr>
    <w:rPr>
      <w:rFonts w:eastAsia="Times New Roman"/>
      <w:sz w:val="18"/>
      <w:szCs w:val="18"/>
      <w:lang w:val="es-ES_tradnl" w:eastAsia="es-ES"/>
    </w:rPr>
  </w:style>
  <w:style w:type="paragraph" w:styleId="TDC6">
    <w:name w:val="toc 6"/>
    <w:basedOn w:val="Normal"/>
    <w:next w:val="Normal"/>
    <w:autoRedefine/>
    <w:uiPriority w:val="39"/>
    <w:rsid w:val="00F27AC4"/>
    <w:pPr>
      <w:spacing w:after="0" w:line="240" w:lineRule="auto"/>
      <w:ind w:left="1200"/>
    </w:pPr>
    <w:rPr>
      <w:rFonts w:eastAsia="Times New Roman"/>
      <w:sz w:val="18"/>
      <w:szCs w:val="18"/>
      <w:lang w:val="es-ES_tradnl" w:eastAsia="es-ES"/>
    </w:rPr>
  </w:style>
  <w:style w:type="paragraph" w:styleId="TDC7">
    <w:name w:val="toc 7"/>
    <w:basedOn w:val="Normal"/>
    <w:next w:val="Normal"/>
    <w:autoRedefine/>
    <w:rsid w:val="00F27AC4"/>
    <w:pPr>
      <w:spacing w:after="0" w:line="240" w:lineRule="auto"/>
      <w:ind w:left="1440"/>
    </w:pPr>
    <w:rPr>
      <w:rFonts w:eastAsia="Times New Roman"/>
      <w:sz w:val="18"/>
      <w:szCs w:val="18"/>
      <w:lang w:val="es-ES_tradnl" w:eastAsia="es-ES"/>
    </w:rPr>
  </w:style>
  <w:style w:type="paragraph" w:styleId="TDC8">
    <w:name w:val="toc 8"/>
    <w:basedOn w:val="Normal"/>
    <w:next w:val="Normal"/>
    <w:autoRedefine/>
    <w:rsid w:val="00F27AC4"/>
    <w:pPr>
      <w:spacing w:after="0" w:line="240" w:lineRule="auto"/>
      <w:ind w:left="1680"/>
    </w:pPr>
    <w:rPr>
      <w:rFonts w:eastAsia="Times New Roman"/>
      <w:sz w:val="18"/>
      <w:szCs w:val="18"/>
      <w:lang w:val="es-ES_tradnl" w:eastAsia="es-ES"/>
    </w:rPr>
  </w:style>
  <w:style w:type="paragraph" w:styleId="TDC9">
    <w:name w:val="toc 9"/>
    <w:basedOn w:val="Normal"/>
    <w:next w:val="Normal"/>
    <w:autoRedefine/>
    <w:rsid w:val="00F27AC4"/>
    <w:pPr>
      <w:spacing w:after="0" w:line="240" w:lineRule="auto"/>
      <w:ind w:left="1920"/>
    </w:pPr>
    <w:rPr>
      <w:rFonts w:eastAsia="Times New Roman"/>
      <w:sz w:val="18"/>
      <w:szCs w:val="18"/>
      <w:lang w:val="es-ES_tradnl" w:eastAsia="es-ES"/>
    </w:rPr>
  </w:style>
  <w:style w:type="character" w:styleId="Ttulodellibro">
    <w:name w:val="Book Title"/>
    <w:uiPriority w:val="33"/>
    <w:qFormat/>
    <w:rsid w:val="00F27AC4"/>
    <w:rPr>
      <w:b/>
      <w:bCs/>
      <w:smallCaps/>
      <w:spacing w:val="5"/>
    </w:rPr>
  </w:style>
  <w:style w:type="table" w:customStyle="1" w:styleId="TableNormal10">
    <w:name w:val="Table Normal1"/>
    <w:rsid w:val="00F27AC4"/>
    <w:tblPr>
      <w:tblCellMar>
        <w:top w:w="0" w:type="dxa"/>
        <w:left w:w="0" w:type="dxa"/>
        <w:bottom w:w="0" w:type="dxa"/>
        <w:right w:w="0" w:type="dxa"/>
      </w:tblCellMar>
    </w:tblPr>
  </w:style>
  <w:style w:type="character" w:customStyle="1" w:styleId="Mencinsinresolver2">
    <w:name w:val="Mención sin resolver2"/>
    <w:uiPriority w:val="99"/>
    <w:semiHidden/>
    <w:unhideWhenUsed/>
    <w:rsid w:val="00F27AC4"/>
    <w:rPr>
      <w:color w:val="605E5C"/>
      <w:shd w:val="clear" w:color="auto" w:fill="E1DFDD"/>
    </w:rPr>
  </w:style>
  <w:style w:type="numbering" w:customStyle="1" w:styleId="Sinlista1">
    <w:name w:val="Sin lista1"/>
    <w:next w:val="Sinlista"/>
    <w:uiPriority w:val="99"/>
    <w:semiHidden/>
    <w:unhideWhenUsed/>
    <w:rsid w:val="00B853B5"/>
  </w:style>
  <w:style w:type="table" w:customStyle="1" w:styleId="Tablaconcuadrcula1">
    <w:name w:val="Tabla con cuadrícula1"/>
    <w:basedOn w:val="Tablanormal"/>
    <w:next w:val="Tablaconcuadrcula"/>
    <w:uiPriority w:val="59"/>
    <w:rsid w:val="00B853B5"/>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importado131">
    <w:name w:val="Estilo importado 131"/>
    <w:rsid w:val="00B853B5"/>
    <w:pPr>
      <w:numPr>
        <w:numId w:val="2"/>
      </w:numPr>
    </w:pPr>
  </w:style>
  <w:style w:type="table" w:customStyle="1" w:styleId="Tablaconcuadrculaclara1">
    <w:name w:val="Tabla con cuadrícula clara1"/>
    <w:basedOn w:val="Tablanormal"/>
    <w:next w:val="Cuadrculadetablaclara"/>
    <w:uiPriority w:val="40"/>
    <w:rsid w:val="00B853B5"/>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1clara-nfasis521">
    <w:name w:val="Tabla de cuadrícula 1 clara - Énfasis 521"/>
    <w:basedOn w:val="Tablanormal"/>
    <w:uiPriority w:val="46"/>
    <w:rsid w:val="00B853B5"/>
    <w:pPr>
      <w:spacing w:after="0" w:line="240" w:lineRule="auto"/>
    </w:pPr>
    <w:rPr>
      <w:rFonts w:cs="Times New Roman"/>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1clara-nfasis111">
    <w:name w:val="Tabla de cuadrícula 1 clara - Énfasis 111"/>
    <w:basedOn w:val="Tablanormal"/>
    <w:uiPriority w:val="46"/>
    <w:rsid w:val="00B853B5"/>
    <w:pPr>
      <w:spacing w:after="0" w:line="240" w:lineRule="auto"/>
    </w:pPr>
    <w:rPr>
      <w:rFonts w:cs="Times New Roman"/>
      <w:lang w:val="en-US"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121">
    <w:name w:val="Tabla de cuadrícula 1 clara - Énfasis 121"/>
    <w:basedOn w:val="Tablanormal"/>
    <w:uiPriority w:val="46"/>
    <w:rsid w:val="00B853B5"/>
    <w:pPr>
      <w:spacing w:after="0" w:line="240" w:lineRule="auto"/>
    </w:pPr>
    <w:rPr>
      <w:rFonts w:cs="Times New Roman"/>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3">
    <w:name w:val="Mención sin resolver3"/>
    <w:uiPriority w:val="99"/>
    <w:semiHidden/>
    <w:unhideWhenUsed/>
    <w:rsid w:val="00B853B5"/>
    <w:rPr>
      <w:color w:val="605E5C"/>
      <w:shd w:val="clear" w:color="auto" w:fill="E1DFDD"/>
    </w:rPr>
  </w:style>
  <w:style w:type="table" w:styleId="Tabladecuadrcula4-nfasis1">
    <w:name w:val="Grid Table 4 Accent 1"/>
    <w:basedOn w:val="Tablanormal"/>
    <w:uiPriority w:val="49"/>
    <w:rsid w:val="000A367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1675">
      <w:bodyDiv w:val="1"/>
      <w:marLeft w:val="0"/>
      <w:marRight w:val="0"/>
      <w:marTop w:val="0"/>
      <w:marBottom w:val="0"/>
      <w:divBdr>
        <w:top w:val="none" w:sz="0" w:space="0" w:color="auto"/>
        <w:left w:val="none" w:sz="0" w:space="0" w:color="auto"/>
        <w:bottom w:val="none" w:sz="0" w:space="0" w:color="auto"/>
        <w:right w:val="none" w:sz="0" w:space="0" w:color="auto"/>
      </w:divBdr>
    </w:div>
    <w:div w:id="241915888">
      <w:bodyDiv w:val="1"/>
      <w:marLeft w:val="0"/>
      <w:marRight w:val="0"/>
      <w:marTop w:val="0"/>
      <w:marBottom w:val="0"/>
      <w:divBdr>
        <w:top w:val="none" w:sz="0" w:space="0" w:color="auto"/>
        <w:left w:val="none" w:sz="0" w:space="0" w:color="auto"/>
        <w:bottom w:val="none" w:sz="0" w:space="0" w:color="auto"/>
        <w:right w:val="none" w:sz="0" w:space="0" w:color="auto"/>
      </w:divBdr>
    </w:div>
    <w:div w:id="404422851">
      <w:bodyDiv w:val="1"/>
      <w:marLeft w:val="0"/>
      <w:marRight w:val="0"/>
      <w:marTop w:val="0"/>
      <w:marBottom w:val="0"/>
      <w:divBdr>
        <w:top w:val="none" w:sz="0" w:space="0" w:color="auto"/>
        <w:left w:val="none" w:sz="0" w:space="0" w:color="auto"/>
        <w:bottom w:val="none" w:sz="0" w:space="0" w:color="auto"/>
        <w:right w:val="none" w:sz="0" w:space="0" w:color="auto"/>
      </w:divBdr>
    </w:div>
    <w:div w:id="577863435">
      <w:bodyDiv w:val="1"/>
      <w:marLeft w:val="0"/>
      <w:marRight w:val="0"/>
      <w:marTop w:val="0"/>
      <w:marBottom w:val="0"/>
      <w:divBdr>
        <w:top w:val="none" w:sz="0" w:space="0" w:color="auto"/>
        <w:left w:val="none" w:sz="0" w:space="0" w:color="auto"/>
        <w:bottom w:val="none" w:sz="0" w:space="0" w:color="auto"/>
        <w:right w:val="none" w:sz="0" w:space="0" w:color="auto"/>
      </w:divBdr>
    </w:div>
    <w:div w:id="639463326">
      <w:bodyDiv w:val="1"/>
      <w:marLeft w:val="0"/>
      <w:marRight w:val="0"/>
      <w:marTop w:val="0"/>
      <w:marBottom w:val="0"/>
      <w:divBdr>
        <w:top w:val="none" w:sz="0" w:space="0" w:color="auto"/>
        <w:left w:val="none" w:sz="0" w:space="0" w:color="auto"/>
        <w:bottom w:val="none" w:sz="0" w:space="0" w:color="auto"/>
        <w:right w:val="none" w:sz="0" w:space="0" w:color="auto"/>
      </w:divBdr>
    </w:div>
    <w:div w:id="654534464">
      <w:bodyDiv w:val="1"/>
      <w:marLeft w:val="0"/>
      <w:marRight w:val="0"/>
      <w:marTop w:val="0"/>
      <w:marBottom w:val="0"/>
      <w:divBdr>
        <w:top w:val="none" w:sz="0" w:space="0" w:color="auto"/>
        <w:left w:val="none" w:sz="0" w:space="0" w:color="auto"/>
        <w:bottom w:val="none" w:sz="0" w:space="0" w:color="auto"/>
        <w:right w:val="none" w:sz="0" w:space="0" w:color="auto"/>
      </w:divBdr>
    </w:div>
    <w:div w:id="1190142481">
      <w:bodyDiv w:val="1"/>
      <w:marLeft w:val="0"/>
      <w:marRight w:val="0"/>
      <w:marTop w:val="0"/>
      <w:marBottom w:val="0"/>
      <w:divBdr>
        <w:top w:val="none" w:sz="0" w:space="0" w:color="auto"/>
        <w:left w:val="none" w:sz="0" w:space="0" w:color="auto"/>
        <w:bottom w:val="none" w:sz="0" w:space="0" w:color="auto"/>
        <w:right w:val="none" w:sz="0" w:space="0" w:color="auto"/>
      </w:divBdr>
      <w:divsChild>
        <w:div w:id="1109668208">
          <w:marLeft w:val="0"/>
          <w:marRight w:val="0"/>
          <w:marTop w:val="0"/>
          <w:marBottom w:val="0"/>
          <w:divBdr>
            <w:top w:val="none" w:sz="0" w:space="0" w:color="auto"/>
            <w:left w:val="none" w:sz="0" w:space="0" w:color="auto"/>
            <w:bottom w:val="none" w:sz="0" w:space="0" w:color="auto"/>
            <w:right w:val="none" w:sz="0" w:space="0" w:color="auto"/>
          </w:divBdr>
        </w:div>
        <w:div w:id="525559622">
          <w:marLeft w:val="0"/>
          <w:marRight w:val="0"/>
          <w:marTop w:val="0"/>
          <w:marBottom w:val="0"/>
          <w:divBdr>
            <w:top w:val="none" w:sz="0" w:space="0" w:color="auto"/>
            <w:left w:val="none" w:sz="0" w:space="0" w:color="auto"/>
            <w:bottom w:val="none" w:sz="0" w:space="0" w:color="auto"/>
            <w:right w:val="none" w:sz="0" w:space="0" w:color="auto"/>
          </w:divBdr>
        </w:div>
        <w:div w:id="523053070">
          <w:marLeft w:val="0"/>
          <w:marRight w:val="0"/>
          <w:marTop w:val="0"/>
          <w:marBottom w:val="0"/>
          <w:divBdr>
            <w:top w:val="none" w:sz="0" w:space="0" w:color="auto"/>
            <w:left w:val="none" w:sz="0" w:space="0" w:color="auto"/>
            <w:bottom w:val="none" w:sz="0" w:space="0" w:color="auto"/>
            <w:right w:val="none" w:sz="0" w:space="0" w:color="auto"/>
          </w:divBdr>
        </w:div>
      </w:divsChild>
    </w:div>
    <w:div w:id="1242523806">
      <w:bodyDiv w:val="1"/>
      <w:marLeft w:val="0"/>
      <w:marRight w:val="0"/>
      <w:marTop w:val="0"/>
      <w:marBottom w:val="0"/>
      <w:divBdr>
        <w:top w:val="none" w:sz="0" w:space="0" w:color="auto"/>
        <w:left w:val="none" w:sz="0" w:space="0" w:color="auto"/>
        <w:bottom w:val="none" w:sz="0" w:space="0" w:color="auto"/>
        <w:right w:val="none" w:sz="0" w:space="0" w:color="auto"/>
      </w:divBdr>
    </w:div>
    <w:div w:id="1246916253">
      <w:bodyDiv w:val="1"/>
      <w:marLeft w:val="0"/>
      <w:marRight w:val="0"/>
      <w:marTop w:val="0"/>
      <w:marBottom w:val="0"/>
      <w:divBdr>
        <w:top w:val="none" w:sz="0" w:space="0" w:color="auto"/>
        <w:left w:val="none" w:sz="0" w:space="0" w:color="auto"/>
        <w:bottom w:val="none" w:sz="0" w:space="0" w:color="auto"/>
        <w:right w:val="none" w:sz="0" w:space="0" w:color="auto"/>
      </w:divBdr>
      <w:divsChild>
        <w:div w:id="538782431">
          <w:marLeft w:val="0"/>
          <w:marRight w:val="0"/>
          <w:marTop w:val="0"/>
          <w:marBottom w:val="0"/>
          <w:divBdr>
            <w:top w:val="none" w:sz="0" w:space="0" w:color="auto"/>
            <w:left w:val="none" w:sz="0" w:space="0" w:color="auto"/>
            <w:bottom w:val="none" w:sz="0" w:space="0" w:color="auto"/>
            <w:right w:val="none" w:sz="0" w:space="0" w:color="auto"/>
          </w:divBdr>
        </w:div>
        <w:div w:id="864246728">
          <w:marLeft w:val="0"/>
          <w:marRight w:val="0"/>
          <w:marTop w:val="0"/>
          <w:marBottom w:val="0"/>
          <w:divBdr>
            <w:top w:val="none" w:sz="0" w:space="0" w:color="auto"/>
            <w:left w:val="none" w:sz="0" w:space="0" w:color="auto"/>
            <w:bottom w:val="none" w:sz="0" w:space="0" w:color="auto"/>
            <w:right w:val="none" w:sz="0" w:space="0" w:color="auto"/>
          </w:divBdr>
        </w:div>
        <w:div w:id="815952369">
          <w:marLeft w:val="0"/>
          <w:marRight w:val="0"/>
          <w:marTop w:val="0"/>
          <w:marBottom w:val="0"/>
          <w:divBdr>
            <w:top w:val="none" w:sz="0" w:space="0" w:color="auto"/>
            <w:left w:val="none" w:sz="0" w:space="0" w:color="auto"/>
            <w:bottom w:val="none" w:sz="0" w:space="0" w:color="auto"/>
            <w:right w:val="none" w:sz="0" w:space="0" w:color="auto"/>
          </w:divBdr>
        </w:div>
      </w:divsChild>
    </w:div>
    <w:div w:id="1490361415">
      <w:bodyDiv w:val="1"/>
      <w:marLeft w:val="0"/>
      <w:marRight w:val="0"/>
      <w:marTop w:val="0"/>
      <w:marBottom w:val="0"/>
      <w:divBdr>
        <w:top w:val="none" w:sz="0" w:space="0" w:color="auto"/>
        <w:left w:val="none" w:sz="0" w:space="0" w:color="auto"/>
        <w:bottom w:val="none" w:sz="0" w:space="0" w:color="auto"/>
        <w:right w:val="none" w:sz="0" w:space="0" w:color="auto"/>
      </w:divBdr>
    </w:div>
    <w:div w:id="1532961705">
      <w:bodyDiv w:val="1"/>
      <w:marLeft w:val="0"/>
      <w:marRight w:val="0"/>
      <w:marTop w:val="0"/>
      <w:marBottom w:val="0"/>
      <w:divBdr>
        <w:top w:val="none" w:sz="0" w:space="0" w:color="auto"/>
        <w:left w:val="none" w:sz="0" w:space="0" w:color="auto"/>
        <w:bottom w:val="none" w:sz="0" w:space="0" w:color="auto"/>
        <w:right w:val="none" w:sz="0" w:space="0" w:color="auto"/>
      </w:divBdr>
    </w:div>
    <w:div w:id="1634821979">
      <w:bodyDiv w:val="1"/>
      <w:marLeft w:val="0"/>
      <w:marRight w:val="0"/>
      <w:marTop w:val="0"/>
      <w:marBottom w:val="0"/>
      <w:divBdr>
        <w:top w:val="none" w:sz="0" w:space="0" w:color="auto"/>
        <w:left w:val="none" w:sz="0" w:space="0" w:color="auto"/>
        <w:bottom w:val="none" w:sz="0" w:space="0" w:color="auto"/>
        <w:right w:val="none" w:sz="0" w:space="0" w:color="auto"/>
      </w:divBdr>
    </w:div>
    <w:div w:id="1773239471">
      <w:bodyDiv w:val="1"/>
      <w:marLeft w:val="0"/>
      <w:marRight w:val="0"/>
      <w:marTop w:val="0"/>
      <w:marBottom w:val="0"/>
      <w:divBdr>
        <w:top w:val="none" w:sz="0" w:space="0" w:color="auto"/>
        <w:left w:val="none" w:sz="0" w:space="0" w:color="auto"/>
        <w:bottom w:val="none" w:sz="0" w:space="0" w:color="auto"/>
        <w:right w:val="none" w:sz="0" w:space="0" w:color="auto"/>
      </w:divBdr>
    </w:div>
    <w:div w:id="1773550022">
      <w:bodyDiv w:val="1"/>
      <w:marLeft w:val="0"/>
      <w:marRight w:val="0"/>
      <w:marTop w:val="0"/>
      <w:marBottom w:val="0"/>
      <w:divBdr>
        <w:top w:val="none" w:sz="0" w:space="0" w:color="auto"/>
        <w:left w:val="none" w:sz="0" w:space="0" w:color="auto"/>
        <w:bottom w:val="none" w:sz="0" w:space="0" w:color="auto"/>
        <w:right w:val="none" w:sz="0" w:space="0" w:color="auto"/>
      </w:divBdr>
    </w:div>
    <w:div w:id="2126925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Cant%C3%B3n_de_Buenos_Aires" TargetMode="External"/><Relationship Id="rId18" Type="http://schemas.openxmlformats.org/officeDocument/2006/relationships/image" Target="media/image7.png"/><Relationship Id="rId26" Type="http://schemas.openxmlformats.org/officeDocument/2006/relationships/hyperlink" Target="https://es.wikipedia.org/wiki/Archivo:CR_RNT_610.svg" TargetMode="External"/><Relationship Id="rId21" Type="http://schemas.openxmlformats.org/officeDocument/2006/relationships/hyperlink" Target="https://es.wikipedia.org/wiki/Ruta_2_(Costa_Rica)" TargetMode="External"/><Relationship Id="rId34" Type="http://schemas.openxmlformats.org/officeDocument/2006/relationships/image" Target="media/image19.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hyperlink" Target="https://es.wikipedia.org/wiki/Archivo:CR_RNS_246.svg" TargetMode="External"/><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hyperlink" Target="mailto:gnunez@mba.go.cr" TargetMode="External"/><Relationship Id="rId19" Type="http://schemas.openxmlformats.org/officeDocument/2006/relationships/image" Target="media/image8.png"/><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hyperlink" Target="mailto:gnunez@mba.go.cr" TargetMode="External"/><Relationship Id="rId14" Type="http://schemas.openxmlformats.org/officeDocument/2006/relationships/image" Target="media/image3.png"/><Relationship Id="rId22" Type="http://schemas.openxmlformats.org/officeDocument/2006/relationships/hyperlink" Target="https://es.wikipedia.org/wiki/Archivo:CR_RNP_2.svg" TargetMode="External"/><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hyperlink" Target="https://regionalizacion.uned.ac.cr/destinobrunca/catalog/public/section/ruta-del-agua"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18pXHFCi9ic+PO1tsojTM0t65w==">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8A4550-FFAB-4B8D-8BCC-6DDA6DBF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2158</TotalTime>
  <Pages>1</Pages>
  <Words>29079</Words>
  <Characters>159935</Characters>
  <Application>Microsoft Office Word</Application>
  <DocSecurity>0</DocSecurity>
  <Lines>1332</Lines>
  <Paragraphs>377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Julian Solano Bentes</dc:creator>
  <cp:lastModifiedBy>Jorge Morales Black</cp:lastModifiedBy>
  <cp:revision>126</cp:revision>
  <cp:lastPrinted>2026-10-05T15:34:00Z</cp:lastPrinted>
  <dcterms:created xsi:type="dcterms:W3CDTF">2025-04-01T15:24:00Z</dcterms:created>
  <dcterms:modified xsi:type="dcterms:W3CDTF">2026-11-03T16:32:00Z</dcterms:modified>
</cp:coreProperties>
</file>